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B4" w:rsidRDefault="006B17B4">
      <w:pPr>
        <w:pStyle w:val="BodyText"/>
        <w:spacing w:before="10"/>
        <w:rPr>
          <w:b/>
        </w:rPr>
      </w:pPr>
      <w:r>
        <w:rPr>
          <w:b/>
          <w:noProof/>
          <w:lang w:val="en-GB" w:eastAsia="en-GB"/>
        </w:rPr>
        <w:drawing>
          <wp:anchor distT="0" distB="0" distL="114300" distR="114300" simplePos="0" relativeHeight="251657216" behindDoc="0" locked="0" layoutInCell="1" allowOverlap="1">
            <wp:simplePos x="0" y="0"/>
            <wp:positionH relativeFrom="column">
              <wp:posOffset>2438400</wp:posOffset>
            </wp:positionH>
            <wp:positionV relativeFrom="paragraph">
              <wp:posOffset>-168275</wp:posOffset>
            </wp:positionV>
            <wp:extent cx="1905000" cy="781050"/>
            <wp:effectExtent l="0" t="0" r="0" b="0"/>
            <wp:wrapTopAndBottom/>
            <wp:docPr id="1" name="Picture 1" descr="logo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logo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6B17B4" w:rsidRPr="007425BE" w:rsidTr="000B3E63">
        <w:trPr>
          <w:trHeight w:val="841"/>
        </w:trPr>
        <w:tc>
          <w:tcPr>
            <w:tcW w:w="9854" w:type="dxa"/>
            <w:shd w:val="clear" w:color="auto" w:fill="EFFBFF"/>
            <w:vAlign w:val="center"/>
          </w:tcPr>
          <w:p w:rsidR="006B17B4" w:rsidRPr="007425BE" w:rsidRDefault="006B17B4" w:rsidP="00564B17">
            <w:pPr>
              <w:keepNext/>
              <w:tabs>
                <w:tab w:val="left" w:pos="284"/>
              </w:tabs>
              <w:jc w:val="center"/>
              <w:outlineLvl w:val="0"/>
              <w:rPr>
                <w:b/>
                <w:bCs/>
                <w:sz w:val="56"/>
                <w:szCs w:val="56"/>
              </w:rPr>
            </w:pPr>
            <w:r w:rsidRPr="007425BE">
              <w:rPr>
                <w:bCs/>
                <w:sz w:val="52"/>
                <w:szCs w:val="56"/>
              </w:rPr>
              <w:t xml:space="preserve">The </w:t>
            </w:r>
            <w:proofErr w:type="spellStart"/>
            <w:r w:rsidRPr="007425BE">
              <w:rPr>
                <w:bCs/>
                <w:sz w:val="52"/>
                <w:szCs w:val="56"/>
              </w:rPr>
              <w:t>Belsteads</w:t>
            </w:r>
            <w:proofErr w:type="spellEnd"/>
            <w:r w:rsidRPr="007425BE">
              <w:rPr>
                <w:bCs/>
                <w:sz w:val="52"/>
                <w:szCs w:val="56"/>
              </w:rPr>
              <w:t xml:space="preserve"> School</w:t>
            </w:r>
            <w:r w:rsidRPr="007425BE">
              <w:rPr>
                <w:b/>
                <w:bCs/>
                <w:sz w:val="52"/>
                <w:szCs w:val="56"/>
              </w:rPr>
              <w:t xml:space="preserve">               </w:t>
            </w:r>
            <w:r w:rsidRPr="007425BE">
              <w:rPr>
                <w:b/>
                <w:bCs/>
                <w:sz w:val="56"/>
                <w:szCs w:val="56"/>
              </w:rPr>
              <w:t xml:space="preserve">  </w:t>
            </w:r>
            <w:r>
              <w:rPr>
                <w:b/>
                <w:bCs/>
                <w:sz w:val="56"/>
                <w:szCs w:val="56"/>
              </w:rPr>
              <w:t xml:space="preserve">        </w:t>
            </w:r>
            <w:r w:rsidR="00564B17">
              <w:rPr>
                <w:b/>
                <w:bCs/>
                <w:sz w:val="56"/>
                <w:szCs w:val="56"/>
              </w:rPr>
              <w:t>Premises Management</w:t>
            </w:r>
            <w:r>
              <w:rPr>
                <w:b/>
                <w:bCs/>
                <w:sz w:val="56"/>
                <w:szCs w:val="56"/>
              </w:rPr>
              <w:t xml:space="preserve"> Policy</w:t>
            </w:r>
          </w:p>
        </w:tc>
      </w:tr>
    </w:tbl>
    <w:tbl>
      <w:tblPr>
        <w:tblpPr w:leftFromText="180" w:rightFromText="180" w:vertAnchor="text" w:horzAnchor="margin" w:tblpXSpec="center" w:tblpY="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4631"/>
      </w:tblGrid>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Version</w:t>
            </w:r>
          </w:p>
        </w:tc>
        <w:tc>
          <w:tcPr>
            <w:tcW w:w="4819" w:type="dxa"/>
            <w:vAlign w:val="center"/>
          </w:tcPr>
          <w:p w:rsidR="002E5CDA" w:rsidRPr="0032491B" w:rsidRDefault="002E5CDA" w:rsidP="002E5CDA">
            <w:pPr>
              <w:tabs>
                <w:tab w:val="left" w:pos="284"/>
              </w:tabs>
              <w:spacing w:before="60" w:after="60"/>
            </w:pPr>
            <w:r w:rsidRPr="0032491B">
              <w:t>1</w:t>
            </w:r>
          </w:p>
        </w:tc>
      </w:tr>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Name of Responsible (ratifying) Committee</w:t>
            </w:r>
          </w:p>
        </w:tc>
        <w:tc>
          <w:tcPr>
            <w:tcW w:w="4819" w:type="dxa"/>
            <w:vAlign w:val="center"/>
          </w:tcPr>
          <w:p w:rsidR="002E5CDA" w:rsidRDefault="00435260" w:rsidP="002E5CDA">
            <w:pPr>
              <w:tabs>
                <w:tab w:val="left" w:pos="284"/>
              </w:tabs>
              <w:spacing w:before="60" w:after="60"/>
              <w:rPr>
                <w:sz w:val="28"/>
                <w:lang w:eastAsia="en-GB"/>
              </w:rPr>
            </w:pPr>
            <w:r>
              <w:t xml:space="preserve">Peter Adams – Chair of </w:t>
            </w:r>
            <w:r w:rsidR="003415E3">
              <w:t>Governor</w:t>
            </w:r>
            <w:r>
              <w:t>s</w:t>
            </w:r>
          </w:p>
          <w:p w:rsidR="002E5CDA" w:rsidRPr="0032491B" w:rsidRDefault="002E5CDA" w:rsidP="002E5CDA">
            <w:pPr>
              <w:tabs>
                <w:tab w:val="left" w:pos="284"/>
              </w:tabs>
              <w:spacing w:before="60" w:after="60"/>
            </w:pPr>
            <w:r>
              <w:t>Signed:</w:t>
            </w:r>
          </w:p>
        </w:tc>
      </w:tr>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Date Ratified</w:t>
            </w:r>
          </w:p>
        </w:tc>
        <w:tc>
          <w:tcPr>
            <w:tcW w:w="4819" w:type="dxa"/>
            <w:vAlign w:val="center"/>
          </w:tcPr>
          <w:p w:rsidR="002E5CDA" w:rsidRPr="0032491B" w:rsidRDefault="006D652C" w:rsidP="002E5CDA">
            <w:pPr>
              <w:tabs>
                <w:tab w:val="left" w:pos="284"/>
              </w:tabs>
              <w:spacing w:before="60" w:after="60"/>
            </w:pPr>
            <w:r>
              <w:t>16 October 2019</w:t>
            </w:r>
          </w:p>
        </w:tc>
      </w:tr>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Date Issued</w:t>
            </w:r>
          </w:p>
        </w:tc>
        <w:tc>
          <w:tcPr>
            <w:tcW w:w="4819" w:type="dxa"/>
            <w:vAlign w:val="center"/>
          </w:tcPr>
          <w:p w:rsidR="002E5CDA" w:rsidRPr="0032491B" w:rsidRDefault="006D652C" w:rsidP="002E5CDA">
            <w:pPr>
              <w:tabs>
                <w:tab w:val="left" w:pos="284"/>
              </w:tabs>
              <w:spacing w:before="60" w:after="60"/>
            </w:pPr>
            <w:r>
              <w:t>17 October 2019</w:t>
            </w:r>
          </w:p>
        </w:tc>
      </w:tr>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Review Date</w:t>
            </w:r>
          </w:p>
        </w:tc>
        <w:tc>
          <w:tcPr>
            <w:tcW w:w="4819" w:type="dxa"/>
            <w:vAlign w:val="center"/>
          </w:tcPr>
          <w:p w:rsidR="002E5CDA" w:rsidRPr="0032491B" w:rsidRDefault="003415E3" w:rsidP="005D51A1">
            <w:pPr>
              <w:tabs>
                <w:tab w:val="left" w:pos="284"/>
              </w:tabs>
              <w:spacing w:before="60" w:after="60"/>
            </w:pPr>
            <w:r>
              <w:t>1</w:t>
            </w:r>
            <w:r w:rsidR="005D51A1">
              <w:t>6</w:t>
            </w:r>
            <w:r w:rsidRPr="003415E3">
              <w:rPr>
                <w:vertAlign w:val="superscript"/>
              </w:rPr>
              <w:t>th</w:t>
            </w:r>
            <w:r>
              <w:t xml:space="preserve"> </w:t>
            </w:r>
            <w:r w:rsidR="006D652C">
              <w:t>October 2020</w:t>
            </w:r>
            <w:bookmarkStart w:id="0" w:name="_GoBack"/>
            <w:bookmarkEnd w:id="0"/>
          </w:p>
        </w:tc>
      </w:tr>
      <w:tr w:rsidR="002E5CDA" w:rsidRPr="0032491B" w:rsidTr="002E5CDA">
        <w:trPr>
          <w:trHeight w:val="454"/>
        </w:trPr>
        <w:tc>
          <w:tcPr>
            <w:tcW w:w="4820" w:type="dxa"/>
            <w:shd w:val="clear" w:color="auto" w:fill="EFFBFF"/>
          </w:tcPr>
          <w:p w:rsidR="002E5CDA" w:rsidRPr="00500773" w:rsidRDefault="002E5CDA" w:rsidP="002E5CDA">
            <w:pPr>
              <w:tabs>
                <w:tab w:val="left" w:pos="284"/>
              </w:tabs>
              <w:spacing w:before="60" w:after="60"/>
              <w:ind w:left="284"/>
              <w:jc w:val="right"/>
              <w:rPr>
                <w:b/>
                <w:sz w:val="20"/>
                <w:szCs w:val="20"/>
              </w:rPr>
            </w:pPr>
            <w:r w:rsidRPr="00500773">
              <w:rPr>
                <w:b/>
                <w:sz w:val="20"/>
                <w:szCs w:val="20"/>
              </w:rPr>
              <w:t xml:space="preserve">Electronic Location   </w:t>
            </w:r>
          </w:p>
        </w:tc>
        <w:tc>
          <w:tcPr>
            <w:tcW w:w="4819" w:type="dxa"/>
            <w:vAlign w:val="center"/>
          </w:tcPr>
          <w:p w:rsidR="002E5CDA" w:rsidRPr="0032491B" w:rsidRDefault="002E5CDA" w:rsidP="002E5CDA">
            <w:pPr>
              <w:tabs>
                <w:tab w:val="left" w:pos="284"/>
              </w:tabs>
              <w:spacing w:before="60" w:after="60"/>
            </w:pPr>
            <w:r w:rsidRPr="0032491B">
              <w:t>T Drive - Policies</w:t>
            </w:r>
          </w:p>
        </w:tc>
      </w:tr>
    </w:tbl>
    <w:p w:rsidR="002E5CDA" w:rsidRDefault="002E5CDA" w:rsidP="006B17B4">
      <w:pPr>
        <w:spacing w:after="120"/>
        <w:ind w:left="-540"/>
        <w:jc w:val="center"/>
        <w:rPr>
          <w:b/>
          <w:bCs/>
          <w:sz w:val="32"/>
        </w:rPr>
      </w:pPr>
    </w:p>
    <w:p w:rsidR="006B17B4" w:rsidRPr="008D42AC" w:rsidRDefault="006B17B4" w:rsidP="006B17B4">
      <w:pPr>
        <w:spacing w:after="120"/>
        <w:ind w:left="-540"/>
        <w:jc w:val="center"/>
        <w:rPr>
          <w:b/>
          <w:bCs/>
          <w:sz w:val="32"/>
        </w:rPr>
      </w:pPr>
      <w:r w:rsidRPr="008D42AC">
        <w:rPr>
          <w:b/>
          <w:bCs/>
          <w:sz w:val="32"/>
        </w:rPr>
        <w:t>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358"/>
      </w:tblGrid>
      <w:tr w:rsidR="006B17B4" w:rsidRPr="008D42AC" w:rsidTr="002060C5">
        <w:trPr>
          <w:jc w:val="center"/>
        </w:trPr>
        <w:tc>
          <w:tcPr>
            <w:tcW w:w="1924" w:type="dxa"/>
            <w:shd w:val="clear" w:color="auto" w:fill="EFFBFF"/>
          </w:tcPr>
          <w:p w:rsidR="006B17B4" w:rsidRPr="00997102" w:rsidRDefault="006B17B4" w:rsidP="000B3E63">
            <w:pPr>
              <w:jc w:val="right"/>
              <w:rPr>
                <w:bCs/>
                <w:sz w:val="24"/>
                <w:szCs w:val="24"/>
              </w:rPr>
            </w:pPr>
            <w:r w:rsidRPr="00997102">
              <w:rPr>
                <w:bCs/>
                <w:sz w:val="24"/>
                <w:szCs w:val="24"/>
              </w:rPr>
              <w:t>Page 2</w:t>
            </w:r>
          </w:p>
        </w:tc>
        <w:tc>
          <w:tcPr>
            <w:tcW w:w="7358" w:type="dxa"/>
            <w:shd w:val="clear" w:color="auto" w:fill="auto"/>
            <w:vAlign w:val="center"/>
          </w:tcPr>
          <w:p w:rsidR="0089773E" w:rsidRDefault="002060C5" w:rsidP="002E5CDA">
            <w:pPr>
              <w:spacing w:line="276" w:lineRule="auto"/>
              <w:rPr>
                <w:bCs/>
                <w:sz w:val="24"/>
                <w:szCs w:val="24"/>
              </w:rPr>
            </w:pPr>
            <w:r>
              <w:rPr>
                <w:bCs/>
                <w:sz w:val="24"/>
                <w:szCs w:val="24"/>
              </w:rPr>
              <w:t>Aims</w:t>
            </w:r>
          </w:p>
          <w:p w:rsidR="002060C5" w:rsidRDefault="002060C5" w:rsidP="002E5CDA">
            <w:pPr>
              <w:spacing w:line="276" w:lineRule="auto"/>
              <w:rPr>
                <w:bCs/>
                <w:sz w:val="24"/>
                <w:szCs w:val="24"/>
              </w:rPr>
            </w:pPr>
            <w:r>
              <w:rPr>
                <w:bCs/>
                <w:sz w:val="24"/>
                <w:szCs w:val="24"/>
              </w:rPr>
              <w:t>Guidance</w:t>
            </w:r>
          </w:p>
          <w:p w:rsidR="002060C5" w:rsidRDefault="002060C5" w:rsidP="002E5CDA">
            <w:pPr>
              <w:spacing w:line="276" w:lineRule="auto"/>
              <w:rPr>
                <w:bCs/>
                <w:sz w:val="24"/>
                <w:szCs w:val="24"/>
              </w:rPr>
            </w:pPr>
            <w:r>
              <w:rPr>
                <w:bCs/>
                <w:sz w:val="24"/>
                <w:szCs w:val="24"/>
              </w:rPr>
              <w:t>Roles &amp; responsibilities</w:t>
            </w:r>
          </w:p>
          <w:p w:rsidR="002060C5" w:rsidRPr="00997102" w:rsidRDefault="002060C5" w:rsidP="002E5CDA">
            <w:pPr>
              <w:spacing w:line="276" w:lineRule="auto"/>
              <w:rPr>
                <w:bCs/>
                <w:sz w:val="24"/>
                <w:szCs w:val="24"/>
              </w:rPr>
            </w:pPr>
            <w:r>
              <w:rPr>
                <w:bCs/>
                <w:sz w:val="24"/>
                <w:szCs w:val="24"/>
              </w:rPr>
              <w:t>Inspection &amp; testing</w:t>
            </w:r>
          </w:p>
        </w:tc>
      </w:tr>
      <w:tr w:rsidR="006B17B4" w:rsidRPr="008D42AC" w:rsidTr="002060C5">
        <w:trPr>
          <w:jc w:val="center"/>
        </w:trPr>
        <w:tc>
          <w:tcPr>
            <w:tcW w:w="1924" w:type="dxa"/>
            <w:shd w:val="clear" w:color="auto" w:fill="EFFBFF"/>
          </w:tcPr>
          <w:p w:rsidR="006B17B4" w:rsidRPr="00997102" w:rsidRDefault="002060C5" w:rsidP="000B3E63">
            <w:pPr>
              <w:jc w:val="right"/>
              <w:rPr>
                <w:bCs/>
                <w:sz w:val="24"/>
                <w:szCs w:val="24"/>
              </w:rPr>
            </w:pPr>
            <w:r>
              <w:rPr>
                <w:bCs/>
                <w:sz w:val="24"/>
                <w:szCs w:val="24"/>
              </w:rPr>
              <w:t>Page 5</w:t>
            </w:r>
          </w:p>
        </w:tc>
        <w:tc>
          <w:tcPr>
            <w:tcW w:w="7358" w:type="dxa"/>
            <w:shd w:val="clear" w:color="auto" w:fill="auto"/>
            <w:vAlign w:val="center"/>
          </w:tcPr>
          <w:p w:rsidR="006B17B4" w:rsidRDefault="002060C5" w:rsidP="002E5CDA">
            <w:pPr>
              <w:spacing w:line="276" w:lineRule="auto"/>
              <w:rPr>
                <w:bCs/>
                <w:sz w:val="24"/>
                <w:szCs w:val="24"/>
              </w:rPr>
            </w:pPr>
            <w:r>
              <w:rPr>
                <w:bCs/>
                <w:sz w:val="24"/>
                <w:szCs w:val="24"/>
              </w:rPr>
              <w:t>Risks assessments &amp; other checks</w:t>
            </w:r>
          </w:p>
          <w:p w:rsidR="0086040A" w:rsidRDefault="0086040A" w:rsidP="002E5CDA">
            <w:pPr>
              <w:spacing w:line="276" w:lineRule="auto"/>
              <w:rPr>
                <w:bCs/>
                <w:sz w:val="24"/>
                <w:szCs w:val="24"/>
              </w:rPr>
            </w:pPr>
            <w:r>
              <w:rPr>
                <w:bCs/>
                <w:sz w:val="24"/>
                <w:szCs w:val="24"/>
              </w:rPr>
              <w:t>Monitoring arrangements</w:t>
            </w:r>
          </w:p>
          <w:p w:rsidR="0086040A" w:rsidRPr="00997102" w:rsidRDefault="0086040A" w:rsidP="002E5CDA">
            <w:pPr>
              <w:spacing w:line="276" w:lineRule="auto"/>
              <w:rPr>
                <w:bCs/>
                <w:sz w:val="24"/>
                <w:szCs w:val="24"/>
              </w:rPr>
            </w:pPr>
            <w:r>
              <w:rPr>
                <w:bCs/>
                <w:sz w:val="24"/>
                <w:szCs w:val="24"/>
              </w:rPr>
              <w:t>Links with other policies</w:t>
            </w:r>
          </w:p>
        </w:tc>
      </w:tr>
    </w:tbl>
    <w:p w:rsidR="002E5CDA" w:rsidRDefault="002E5CDA"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060C5" w:rsidRDefault="002060C5" w:rsidP="000B2BF7">
      <w:pPr>
        <w:spacing w:before="89"/>
        <w:rPr>
          <w:b/>
          <w:sz w:val="24"/>
          <w:szCs w:val="24"/>
        </w:rPr>
      </w:pPr>
    </w:p>
    <w:p w:rsidR="002E5CDA" w:rsidRDefault="002E5CDA" w:rsidP="000B2BF7">
      <w:pPr>
        <w:spacing w:before="89"/>
        <w:rPr>
          <w:b/>
          <w:sz w:val="24"/>
          <w:szCs w:val="24"/>
        </w:rPr>
      </w:pPr>
    </w:p>
    <w:p w:rsidR="002E5CDA" w:rsidRDefault="002E5CDA" w:rsidP="000B2BF7">
      <w:pPr>
        <w:spacing w:before="89"/>
        <w:rPr>
          <w:b/>
          <w:sz w:val="24"/>
          <w:szCs w:val="24"/>
        </w:rPr>
      </w:pPr>
    </w:p>
    <w:p w:rsidR="00564B17" w:rsidRDefault="00564B17" w:rsidP="00564B17">
      <w:pPr>
        <w:pStyle w:val="Heading1"/>
      </w:pPr>
      <w:bookmarkStart w:id="1" w:name="_Toc497386605"/>
      <w:r w:rsidRPr="0011435C">
        <w:lastRenderedPageBreak/>
        <w:t xml:space="preserve">1. </w:t>
      </w:r>
      <w:r>
        <w:t>Aims</w:t>
      </w:r>
      <w:bookmarkEnd w:id="1"/>
    </w:p>
    <w:p w:rsidR="00564B17" w:rsidRDefault="00564B17" w:rsidP="00564B17">
      <w:r>
        <w:t>Our school aims to ensure that it:</w:t>
      </w:r>
    </w:p>
    <w:p w:rsidR="00564B17" w:rsidRDefault="00564B17" w:rsidP="00564B17">
      <w:pPr>
        <w:widowControl/>
        <w:numPr>
          <w:ilvl w:val="0"/>
          <w:numId w:val="13"/>
        </w:numPr>
        <w:autoSpaceDE/>
        <w:autoSpaceDN/>
        <w:spacing w:before="120" w:after="120"/>
        <w:ind w:left="567" w:hanging="283"/>
      </w:pPr>
      <w:r>
        <w:t xml:space="preserve">Manages its buildings and equipment in an efficient, legally compliant way </w:t>
      </w:r>
    </w:p>
    <w:p w:rsidR="00564B17" w:rsidRDefault="00564B17" w:rsidP="00564B17">
      <w:pPr>
        <w:widowControl/>
        <w:numPr>
          <w:ilvl w:val="0"/>
          <w:numId w:val="13"/>
        </w:numPr>
        <w:autoSpaceDE/>
        <w:autoSpaceDN/>
        <w:spacing w:before="120" w:after="120"/>
        <w:ind w:left="567" w:hanging="283"/>
      </w:pPr>
      <w:r>
        <w:t>Inspects and tests buildings and equipment regularly, taking into account statutory requirements and best practice recommendations</w:t>
      </w:r>
    </w:p>
    <w:p w:rsidR="00564B17" w:rsidRPr="002060C5" w:rsidRDefault="00564B17" w:rsidP="00564B17">
      <w:pPr>
        <w:widowControl/>
        <w:numPr>
          <w:ilvl w:val="0"/>
          <w:numId w:val="13"/>
        </w:numPr>
        <w:autoSpaceDE/>
        <w:autoSpaceDN/>
        <w:spacing w:before="120" w:after="120"/>
        <w:ind w:left="567" w:hanging="283"/>
      </w:pPr>
      <w:r>
        <w:t xml:space="preserve">Promotes the safety and wellbeing of our staff, pupils, parents and visitors through effective maintenance of buildings and equipment in accordance with the </w:t>
      </w:r>
      <w:hyperlink r:id="rId9" w:history="1">
        <w:r w:rsidRPr="002060C5">
          <w:rPr>
            <w:rStyle w:val="Hyperlink"/>
            <w:color w:val="auto"/>
          </w:rPr>
          <w:t>Health and Safety at Work etc. Act 1974</w:t>
        </w:r>
      </w:hyperlink>
    </w:p>
    <w:p w:rsidR="00564B17" w:rsidRDefault="00564B17" w:rsidP="00564B17">
      <w:pPr>
        <w:pStyle w:val="Heading1"/>
      </w:pPr>
      <w:bookmarkStart w:id="2" w:name="_Toc497386606"/>
      <w:r>
        <w:t>2. Guidance</w:t>
      </w:r>
      <w:bookmarkEnd w:id="2"/>
    </w:p>
    <w:p w:rsidR="00564B17" w:rsidRDefault="00564B17" w:rsidP="00564B17">
      <w:r>
        <w:t xml:space="preserve">This document is based on the </w:t>
      </w:r>
      <w:hyperlink r:id="rId10" w:history="1">
        <w:r w:rsidRPr="002060C5">
          <w:rPr>
            <w:rStyle w:val="Hyperlink"/>
            <w:color w:val="auto"/>
          </w:rPr>
          <w:t>Compliance Monitoring in Council Buildings report</w:t>
        </w:r>
      </w:hyperlink>
      <w:r w:rsidRPr="002060C5">
        <w:t xml:space="preserve"> from the Federation of Property Societies, which provides an overview of the legislation and compliance requirements related to premises management in sc</w:t>
      </w:r>
      <w:r>
        <w:t>hools. It is</w:t>
      </w:r>
      <w:r w:rsidRPr="002060C5">
        <w:t xml:space="preserve"> also based on the Department for Education’s guidance on </w:t>
      </w:r>
      <w:hyperlink r:id="rId11" w:history="1">
        <w:r w:rsidRPr="002060C5">
          <w:rPr>
            <w:rStyle w:val="Hyperlink"/>
            <w:color w:val="auto"/>
          </w:rPr>
          <w:t>Good estate management for schools</w:t>
        </w:r>
      </w:hyperlink>
      <w:r>
        <w:t>.</w:t>
      </w:r>
    </w:p>
    <w:p w:rsidR="00564B17" w:rsidRPr="0028181B" w:rsidRDefault="00564B17" w:rsidP="00564B17"/>
    <w:p w:rsidR="00564B17" w:rsidRDefault="00564B17" w:rsidP="00564B17">
      <w:pPr>
        <w:pStyle w:val="Heading1"/>
      </w:pPr>
      <w:bookmarkStart w:id="3" w:name="_Toc497386607"/>
      <w:r>
        <w:t>3. Roles and responsibilities</w:t>
      </w:r>
      <w:bookmarkEnd w:id="3"/>
    </w:p>
    <w:p w:rsidR="00564B17" w:rsidRDefault="00564B17" w:rsidP="00564B17">
      <w:r>
        <w:t xml:space="preserve">The governing board, the </w:t>
      </w:r>
      <w:proofErr w:type="spellStart"/>
      <w:r>
        <w:t>headteacher</w:t>
      </w:r>
      <w:proofErr w:type="spellEnd"/>
      <w:r>
        <w:t xml:space="preserve"> and the </w:t>
      </w:r>
      <w:r w:rsidR="002060C5">
        <w:t>school business</w:t>
      </w:r>
      <w:r>
        <w:t xml:space="preserve"> manager will ensure this premises management policy is properly implemented, and that tests and inspections are carried out in accordance with this policy. </w:t>
      </w:r>
    </w:p>
    <w:p w:rsidR="002060C5" w:rsidRDefault="002060C5" w:rsidP="00564B17"/>
    <w:p w:rsidR="00564B17" w:rsidRDefault="00564B17" w:rsidP="00564B17">
      <w:r>
        <w:t xml:space="preserve">The </w:t>
      </w:r>
      <w:r w:rsidR="002060C5">
        <w:t>school business manager</w:t>
      </w:r>
      <w:r>
        <w:t xml:space="preserve"> and </w:t>
      </w:r>
      <w:r w:rsidR="002060C5">
        <w:t xml:space="preserve">the </w:t>
      </w:r>
      <w:r w:rsidR="005D51A1">
        <w:t>Site Manager</w:t>
      </w:r>
      <w:r>
        <w:t xml:space="preserve"> are responsible for ensuring relevant risk assessments are conducted and for reporting to the governing board, as required.</w:t>
      </w:r>
    </w:p>
    <w:p w:rsidR="00564B17" w:rsidRDefault="00564B17" w:rsidP="00564B17">
      <w:r>
        <w:t xml:space="preserve">The </w:t>
      </w:r>
      <w:r w:rsidR="002060C5">
        <w:t>school business manager</w:t>
      </w:r>
      <w:r>
        <w:t xml:space="preserve"> is responsible for:</w:t>
      </w:r>
    </w:p>
    <w:p w:rsidR="00564B17" w:rsidRDefault="00564B17" w:rsidP="00564B17">
      <w:pPr>
        <w:widowControl/>
        <w:numPr>
          <w:ilvl w:val="0"/>
          <w:numId w:val="13"/>
        </w:numPr>
        <w:autoSpaceDE/>
        <w:autoSpaceDN/>
        <w:spacing w:before="120" w:after="120"/>
        <w:ind w:left="567" w:hanging="283"/>
      </w:pPr>
      <w:r>
        <w:t>Inspecting and maintaining the school premises</w:t>
      </w:r>
    </w:p>
    <w:p w:rsidR="00564B17" w:rsidRDefault="00564B17" w:rsidP="00564B17">
      <w:pPr>
        <w:widowControl/>
        <w:numPr>
          <w:ilvl w:val="0"/>
          <w:numId w:val="13"/>
        </w:numPr>
        <w:autoSpaceDE/>
        <w:autoSpaceDN/>
        <w:spacing w:before="120" w:after="120"/>
        <w:ind w:left="567" w:hanging="283"/>
      </w:pPr>
      <w:r>
        <w:t>Conducting repairs and maintenance</w:t>
      </w:r>
    </w:p>
    <w:p w:rsidR="00564B17" w:rsidRDefault="00564B17" w:rsidP="00564B17">
      <w:pPr>
        <w:widowControl/>
        <w:numPr>
          <w:ilvl w:val="0"/>
          <w:numId w:val="13"/>
        </w:numPr>
        <w:autoSpaceDE/>
        <w:autoSpaceDN/>
        <w:spacing w:before="120" w:after="120"/>
        <w:ind w:left="567" w:hanging="283"/>
      </w:pPr>
      <w:r>
        <w:t>Being the first point of contact for any issues with the premises</w:t>
      </w:r>
    </w:p>
    <w:p w:rsidR="00564B17" w:rsidRDefault="00564B17" w:rsidP="00564B17">
      <w:pPr>
        <w:widowControl/>
        <w:numPr>
          <w:ilvl w:val="0"/>
          <w:numId w:val="13"/>
        </w:numPr>
        <w:autoSpaceDE/>
        <w:autoSpaceDN/>
        <w:spacing w:before="120" w:after="120"/>
        <w:ind w:left="567" w:hanging="283"/>
      </w:pPr>
      <w:r>
        <w:t>Conducting and keeping a record of risk assessments and incident logs related to the school premises</w:t>
      </w:r>
    </w:p>
    <w:p w:rsidR="00564B17" w:rsidRDefault="00564B17" w:rsidP="00564B17">
      <w:pPr>
        <w:widowControl/>
        <w:numPr>
          <w:ilvl w:val="0"/>
          <w:numId w:val="13"/>
        </w:numPr>
        <w:autoSpaceDE/>
        <w:autoSpaceDN/>
        <w:spacing w:before="120" w:after="120"/>
        <w:ind w:left="567" w:hanging="283"/>
      </w:pPr>
      <w:r>
        <w:t xml:space="preserve">Liaising with the </w:t>
      </w:r>
      <w:proofErr w:type="spellStart"/>
      <w:r>
        <w:t>headteacher</w:t>
      </w:r>
      <w:proofErr w:type="spellEnd"/>
      <w:r>
        <w:t xml:space="preserve"> about what actions need to be taken to keep the school premises safe</w:t>
      </w:r>
    </w:p>
    <w:p w:rsidR="00564B17" w:rsidRPr="002060C5" w:rsidRDefault="002060C5" w:rsidP="00564B17">
      <w:pPr>
        <w:pStyle w:val="Caption1"/>
        <w:rPr>
          <w:i w:val="0"/>
          <w:color w:val="auto"/>
          <w:sz w:val="22"/>
          <w:szCs w:val="22"/>
        </w:rPr>
      </w:pPr>
      <w:r w:rsidRPr="002060C5">
        <w:rPr>
          <w:i w:val="0"/>
          <w:color w:val="auto"/>
          <w:sz w:val="22"/>
          <w:szCs w:val="22"/>
        </w:rPr>
        <w:t>The site manager will be responsible for conducting repairs and maintenance, utilizing the services of third parties where necessary.</w:t>
      </w:r>
    </w:p>
    <w:p w:rsidR="00564B17" w:rsidRDefault="00564B17" w:rsidP="00564B17">
      <w:pPr>
        <w:pStyle w:val="Heading1"/>
      </w:pPr>
      <w:bookmarkStart w:id="4" w:name="_Toc497386608"/>
      <w:r>
        <w:t>4. Inspection and testing</w:t>
      </w:r>
      <w:bookmarkEnd w:id="4"/>
    </w:p>
    <w:p w:rsidR="00564B17" w:rsidRDefault="00564B17" w:rsidP="00564B17">
      <w:r>
        <w:t xml:space="preserve">The school maintains accurate records and details of all statutory tests which are undertaken. This includes relevant paperwork and certificates. </w:t>
      </w:r>
    </w:p>
    <w:p w:rsidR="002060C5" w:rsidRDefault="002060C5" w:rsidP="00564B17"/>
    <w:p w:rsidR="00564B17" w:rsidRDefault="00564B17" w:rsidP="00564B17">
      <w:r>
        <w:t xml:space="preserve">All requirements and recommendations highlighted in inspection reports and certificates are reviewed and acted on as necessary. </w:t>
      </w:r>
    </w:p>
    <w:p w:rsidR="002060C5" w:rsidRDefault="002060C5" w:rsidP="00564B17"/>
    <w:p w:rsidR="00564B17" w:rsidRDefault="00564B17" w:rsidP="00564B17">
      <w:r>
        <w:t xml:space="preserve">As part of the records of completed works, the school includes the dates when the works were undertaken and the details of the individual or company who completed them, along with their qualifications/certifications and/or experience. </w:t>
      </w:r>
    </w:p>
    <w:p w:rsidR="002060C5" w:rsidRDefault="002060C5" w:rsidP="00564B17"/>
    <w:p w:rsidR="00564B17" w:rsidRDefault="00564B17" w:rsidP="00564B17">
      <w:r>
        <w:t>The table below sets out the issues to inspect, the inspection frequency and the person responsible for checking each issue.</w:t>
      </w:r>
    </w:p>
    <w:p w:rsidR="0086040A" w:rsidRDefault="0086040A" w:rsidP="00564B17"/>
    <w:p w:rsidR="002060C5" w:rsidRDefault="002060C5" w:rsidP="00564B17"/>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47"/>
        <w:gridCol w:w="3152"/>
        <w:gridCol w:w="2835"/>
      </w:tblGrid>
      <w:tr w:rsidR="00564B17" w:rsidRPr="00DA50A5" w:rsidTr="00955600">
        <w:trPr>
          <w:trHeight w:val="27"/>
        </w:trPr>
        <w:tc>
          <w:tcPr>
            <w:tcW w:w="3147" w:type="dxa"/>
            <w:shd w:val="clear" w:color="auto" w:fill="BFBFBF"/>
          </w:tcPr>
          <w:p w:rsidR="00564B17" w:rsidRPr="009E7C74" w:rsidRDefault="00564B17" w:rsidP="00955600">
            <w:pPr>
              <w:spacing w:after="160" w:line="259" w:lineRule="auto"/>
              <w:rPr>
                <w:rFonts w:ascii="Calibri" w:hAnsi="Calibri"/>
                <w:b/>
                <w:sz w:val="24"/>
              </w:rPr>
            </w:pPr>
            <w:r w:rsidRPr="009E7C74">
              <w:rPr>
                <w:rFonts w:ascii="Calibri" w:hAnsi="Calibri"/>
                <w:b/>
                <w:sz w:val="24"/>
              </w:rPr>
              <w:lastRenderedPageBreak/>
              <w:t>Issue to inspect</w:t>
            </w:r>
          </w:p>
        </w:tc>
        <w:tc>
          <w:tcPr>
            <w:tcW w:w="3152" w:type="dxa"/>
            <w:shd w:val="clear" w:color="auto" w:fill="BFBFBF"/>
          </w:tcPr>
          <w:p w:rsidR="00564B17" w:rsidRPr="009E7C74" w:rsidRDefault="00564B17" w:rsidP="00955600">
            <w:pPr>
              <w:spacing w:after="160" w:line="259" w:lineRule="auto"/>
              <w:rPr>
                <w:rFonts w:ascii="Calibri" w:hAnsi="Calibri"/>
                <w:b/>
                <w:sz w:val="24"/>
              </w:rPr>
            </w:pPr>
            <w:r w:rsidRPr="009E7C74">
              <w:rPr>
                <w:rFonts w:ascii="Calibri" w:hAnsi="Calibri"/>
                <w:b/>
                <w:sz w:val="24"/>
              </w:rPr>
              <w:t>Frequency</w:t>
            </w:r>
          </w:p>
        </w:tc>
        <w:tc>
          <w:tcPr>
            <w:tcW w:w="2835" w:type="dxa"/>
            <w:shd w:val="clear" w:color="auto" w:fill="BFBFBF"/>
          </w:tcPr>
          <w:p w:rsidR="00564B17" w:rsidRPr="009E7C74" w:rsidRDefault="00564B17" w:rsidP="00955600">
            <w:pPr>
              <w:spacing w:after="160" w:line="259" w:lineRule="auto"/>
              <w:rPr>
                <w:rFonts w:ascii="Calibri" w:hAnsi="Calibri"/>
                <w:b/>
                <w:sz w:val="24"/>
              </w:rPr>
            </w:pPr>
            <w:r w:rsidRPr="009E7C74">
              <w:rPr>
                <w:rFonts w:ascii="Calibri" w:hAnsi="Calibri"/>
                <w:b/>
                <w:sz w:val="24"/>
              </w:rPr>
              <w:t>Person responsible</w:t>
            </w:r>
          </w:p>
        </w:tc>
      </w:tr>
      <w:tr w:rsidR="00564B17" w:rsidRPr="00DA50A5" w:rsidTr="00955600">
        <w:tc>
          <w:tcPr>
            <w:tcW w:w="3147" w:type="dxa"/>
            <w:shd w:val="clear" w:color="auto" w:fill="auto"/>
          </w:tcPr>
          <w:p w:rsidR="00564B17" w:rsidRPr="006302F6" w:rsidRDefault="00564B17" w:rsidP="00955600">
            <w:pPr>
              <w:rPr>
                <w:szCs w:val="20"/>
              </w:rPr>
            </w:pPr>
            <w:r>
              <w:rPr>
                <w:szCs w:val="20"/>
              </w:rPr>
              <w:t>Electrical testing and inspection</w:t>
            </w:r>
          </w:p>
        </w:tc>
        <w:tc>
          <w:tcPr>
            <w:tcW w:w="3152" w:type="dxa"/>
            <w:shd w:val="clear" w:color="auto" w:fill="auto"/>
          </w:tcPr>
          <w:p w:rsidR="00564B17" w:rsidRDefault="00564B17" w:rsidP="00955600">
            <w:pPr>
              <w:rPr>
                <w:szCs w:val="20"/>
              </w:rPr>
            </w:pPr>
            <w:r w:rsidRPr="006302F6">
              <w:rPr>
                <w:szCs w:val="20"/>
              </w:rPr>
              <w:t xml:space="preserve">A </w:t>
            </w:r>
            <w:hyperlink r:id="rId12" w:history="1">
              <w:r w:rsidRPr="002060C5">
                <w:rPr>
                  <w:rStyle w:val="Hyperlink"/>
                  <w:color w:val="auto"/>
                  <w:szCs w:val="20"/>
                </w:rPr>
                <w:t>PAT</w:t>
              </w:r>
            </w:hyperlink>
            <w:r w:rsidRPr="002060C5">
              <w:rPr>
                <w:szCs w:val="20"/>
              </w:rPr>
              <w:t xml:space="preserve"> </w:t>
            </w:r>
            <w:r w:rsidRPr="006302F6">
              <w:rPr>
                <w:szCs w:val="20"/>
              </w:rPr>
              <w:t>exercise takes place annually</w:t>
            </w:r>
            <w:r>
              <w:rPr>
                <w:szCs w:val="20"/>
              </w:rPr>
              <w:t>.</w:t>
            </w:r>
          </w:p>
          <w:p w:rsidR="00564B17" w:rsidRPr="00030FF8" w:rsidRDefault="00564B17" w:rsidP="00955600">
            <w:pPr>
              <w:rPr>
                <w:szCs w:val="20"/>
              </w:rPr>
            </w:pPr>
            <w:r w:rsidRPr="00030FF8">
              <w:rPr>
                <w:szCs w:val="20"/>
              </w:rPr>
              <w:t xml:space="preserve">The schematic of the supply route and primary distribution is updated annually. </w:t>
            </w:r>
          </w:p>
          <w:p w:rsidR="00564B17" w:rsidRPr="00030FF8" w:rsidRDefault="00564B17" w:rsidP="00955600">
            <w:pPr>
              <w:rPr>
                <w:szCs w:val="20"/>
              </w:rPr>
            </w:pPr>
            <w:r w:rsidRPr="00030FF8">
              <w:rPr>
                <w:szCs w:val="20"/>
              </w:rPr>
              <w:t>Fixed wiring and all distribution boards and safety devices are inspected annually. All fixed wiring and all distribution boards a</w:t>
            </w:r>
            <w:r>
              <w:rPr>
                <w:szCs w:val="20"/>
              </w:rPr>
              <w:t xml:space="preserve">re tested </w:t>
            </w:r>
            <w:r w:rsidRPr="00030FF8">
              <w:rPr>
                <w:szCs w:val="20"/>
              </w:rPr>
              <w:t xml:space="preserve">at least once every 5 years. </w:t>
            </w:r>
          </w:p>
          <w:p w:rsidR="00564B17" w:rsidRDefault="00564B17" w:rsidP="00955600">
            <w:pPr>
              <w:rPr>
                <w:szCs w:val="20"/>
              </w:rPr>
            </w:pPr>
            <w:r w:rsidRPr="00030FF8">
              <w:rPr>
                <w:szCs w:val="20"/>
              </w:rPr>
              <w:t xml:space="preserve">Testing of all distribution boards in mobile accommodation is conducted on an annual basis. </w:t>
            </w:r>
          </w:p>
          <w:p w:rsidR="00564B17" w:rsidRPr="006302F6" w:rsidRDefault="00564B17" w:rsidP="00955600">
            <w:pPr>
              <w:rPr>
                <w:szCs w:val="20"/>
              </w:rPr>
            </w:pPr>
            <w:r w:rsidRPr="00122E0B">
              <w:rPr>
                <w:szCs w:val="20"/>
              </w:rPr>
              <w:t>All electrical testing and inspection is carried out by a competent person.</w:t>
            </w:r>
          </w:p>
        </w:tc>
        <w:tc>
          <w:tcPr>
            <w:tcW w:w="2835" w:type="dxa"/>
          </w:tcPr>
          <w:p w:rsidR="00564B17" w:rsidRPr="006302F6" w:rsidRDefault="00564B17" w:rsidP="00955600">
            <w:pPr>
              <w:rPr>
                <w:szCs w:val="20"/>
              </w:rPr>
            </w:pPr>
          </w:p>
        </w:tc>
      </w:tr>
      <w:tr w:rsidR="00564B17" w:rsidRPr="00DA50A5" w:rsidTr="0086040A">
        <w:trPr>
          <w:trHeight w:val="835"/>
        </w:trPr>
        <w:tc>
          <w:tcPr>
            <w:tcW w:w="3147" w:type="dxa"/>
            <w:shd w:val="clear" w:color="auto" w:fill="auto"/>
          </w:tcPr>
          <w:p w:rsidR="00564B17" w:rsidRPr="006302F6" w:rsidRDefault="00564B17" w:rsidP="00955600">
            <w:pPr>
              <w:rPr>
                <w:szCs w:val="20"/>
              </w:rPr>
            </w:pPr>
            <w:r w:rsidRPr="006302F6">
              <w:rPr>
                <w:szCs w:val="20"/>
              </w:rPr>
              <w:t>Fire safety</w:t>
            </w:r>
          </w:p>
        </w:tc>
        <w:tc>
          <w:tcPr>
            <w:tcW w:w="3152" w:type="dxa"/>
            <w:shd w:val="clear" w:color="auto" w:fill="auto"/>
          </w:tcPr>
          <w:p w:rsidR="00564B17" w:rsidRPr="006302F6" w:rsidRDefault="00564B17" w:rsidP="00955600">
            <w:pPr>
              <w:rPr>
                <w:szCs w:val="20"/>
              </w:rPr>
            </w:pPr>
            <w:r>
              <w:rPr>
                <w:szCs w:val="20"/>
              </w:rPr>
              <w:t>Our fire r</w:t>
            </w:r>
            <w:r w:rsidRPr="006302F6">
              <w:rPr>
                <w:szCs w:val="20"/>
              </w:rPr>
              <w:t>isk assessment is</w:t>
            </w:r>
            <w:r>
              <w:rPr>
                <w:szCs w:val="20"/>
              </w:rPr>
              <w:t xml:space="preserve"> reviewed and</w:t>
            </w:r>
            <w:r w:rsidRPr="006302F6">
              <w:rPr>
                <w:szCs w:val="20"/>
              </w:rPr>
              <w:t xml:space="preserve"> updated </w:t>
            </w:r>
            <w:r>
              <w:rPr>
                <w:szCs w:val="20"/>
              </w:rPr>
              <w:t xml:space="preserve">by a competent person on an annual basis, and </w:t>
            </w:r>
            <w:r w:rsidRPr="006302F6">
              <w:rPr>
                <w:szCs w:val="20"/>
              </w:rPr>
              <w:t xml:space="preserve">when any changes are made that might impact fire safety. </w:t>
            </w:r>
          </w:p>
          <w:p w:rsidR="00564B17" w:rsidRPr="006302F6" w:rsidRDefault="00564B17" w:rsidP="00955600">
            <w:pPr>
              <w:rPr>
                <w:szCs w:val="20"/>
              </w:rPr>
            </w:pPr>
            <w:r w:rsidRPr="006302F6">
              <w:rPr>
                <w:szCs w:val="20"/>
              </w:rPr>
              <w:t xml:space="preserve">Fire detection and alarm systems are tested weekly. </w:t>
            </w:r>
            <w:r>
              <w:rPr>
                <w:szCs w:val="20"/>
              </w:rPr>
              <w:t xml:space="preserve">All call points are tested over a 13-week cycle. </w:t>
            </w:r>
            <w:r w:rsidRPr="006302F6">
              <w:rPr>
                <w:szCs w:val="20"/>
              </w:rPr>
              <w:t xml:space="preserve">Formal quarterly and annual inspections are completed by </w:t>
            </w:r>
            <w:r>
              <w:rPr>
                <w:szCs w:val="20"/>
              </w:rPr>
              <w:t>a competent person</w:t>
            </w:r>
            <w:r w:rsidRPr="006302F6">
              <w:rPr>
                <w:szCs w:val="20"/>
              </w:rPr>
              <w:t xml:space="preserve">. </w:t>
            </w:r>
          </w:p>
          <w:p w:rsidR="00564B17" w:rsidRPr="006302F6" w:rsidRDefault="00564B17" w:rsidP="00955600">
            <w:pPr>
              <w:rPr>
                <w:szCs w:val="20"/>
              </w:rPr>
            </w:pPr>
            <w:r w:rsidRPr="006302F6">
              <w:rPr>
                <w:szCs w:val="20"/>
              </w:rPr>
              <w:t>Fire doors are inspected weekly</w:t>
            </w:r>
            <w:r>
              <w:rPr>
                <w:szCs w:val="20"/>
              </w:rPr>
              <w:t xml:space="preserve"> by a competent person</w:t>
            </w:r>
            <w:r w:rsidRPr="006302F6">
              <w:rPr>
                <w:szCs w:val="20"/>
              </w:rPr>
              <w:t xml:space="preserve">. </w:t>
            </w:r>
          </w:p>
          <w:p w:rsidR="00564B17" w:rsidRDefault="00564B17" w:rsidP="00955600">
            <w:pPr>
              <w:rPr>
                <w:szCs w:val="20"/>
              </w:rPr>
            </w:pPr>
            <w:r w:rsidRPr="006302F6">
              <w:rPr>
                <w:szCs w:val="20"/>
              </w:rPr>
              <w:t xml:space="preserve">Fire extinguishers are inspected and maintained on an annual </w:t>
            </w:r>
            <w:r>
              <w:rPr>
                <w:szCs w:val="20"/>
              </w:rPr>
              <w:t>b</w:t>
            </w:r>
            <w:r w:rsidRPr="006302F6">
              <w:rPr>
                <w:szCs w:val="20"/>
              </w:rPr>
              <w:t>asis</w:t>
            </w:r>
            <w:r>
              <w:rPr>
                <w:szCs w:val="20"/>
              </w:rPr>
              <w:t xml:space="preserve"> by a competent person</w:t>
            </w:r>
            <w:r w:rsidRPr="006302F6">
              <w:rPr>
                <w:szCs w:val="20"/>
              </w:rPr>
              <w:t xml:space="preserve">. </w:t>
            </w:r>
          </w:p>
          <w:p w:rsidR="00564B17" w:rsidRDefault="00564B17" w:rsidP="00955600">
            <w:pPr>
              <w:rPr>
                <w:szCs w:val="20"/>
              </w:rPr>
            </w:pPr>
            <w:r>
              <w:rPr>
                <w:szCs w:val="20"/>
              </w:rPr>
              <w:t xml:space="preserve">Fire blankets are inspected annually and replaced as required. </w:t>
            </w:r>
          </w:p>
          <w:p w:rsidR="00564B17" w:rsidRDefault="00564B17" w:rsidP="00955600">
            <w:pPr>
              <w:rPr>
                <w:szCs w:val="20"/>
              </w:rPr>
            </w:pPr>
            <w:r>
              <w:rPr>
                <w:szCs w:val="20"/>
              </w:rPr>
              <w:t xml:space="preserve">Facilities for the fire service, including access for emergency vehicles, and emergency switches for installations, are maintained and tested annually. </w:t>
            </w:r>
          </w:p>
          <w:p w:rsidR="00564B17" w:rsidRPr="006302F6" w:rsidRDefault="00564B17" w:rsidP="00955600">
            <w:pPr>
              <w:rPr>
                <w:szCs w:val="20"/>
              </w:rPr>
            </w:pPr>
            <w:r>
              <w:rPr>
                <w:szCs w:val="20"/>
              </w:rPr>
              <w:t xml:space="preserve">Lightning conductors are inspected and electrically </w:t>
            </w:r>
            <w:r>
              <w:rPr>
                <w:szCs w:val="20"/>
              </w:rPr>
              <w:lastRenderedPageBreak/>
              <w:t xml:space="preserve">tested on an annual basis by a competent person.  </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First aid equipment</w:t>
            </w:r>
          </w:p>
        </w:tc>
        <w:tc>
          <w:tcPr>
            <w:tcW w:w="3152" w:type="dxa"/>
            <w:shd w:val="clear" w:color="auto" w:fill="auto"/>
          </w:tcPr>
          <w:p w:rsidR="00564B17" w:rsidRPr="006302F6" w:rsidRDefault="00564B17" w:rsidP="00955600">
            <w:pPr>
              <w:rPr>
                <w:szCs w:val="20"/>
              </w:rPr>
            </w:pPr>
            <w:r w:rsidRPr="006302F6">
              <w:rPr>
                <w:szCs w:val="20"/>
              </w:rPr>
              <w:t>First aid equipment is</w:t>
            </w:r>
            <w:r>
              <w:rPr>
                <w:szCs w:val="20"/>
              </w:rPr>
              <w:t xml:space="preserve"> inspected every term.</w:t>
            </w:r>
            <w:r w:rsidRPr="006302F6">
              <w:rPr>
                <w:szCs w:val="20"/>
              </w:rPr>
              <w:t xml:space="preserve"> Any equipment which has passed its expiry date is replaced. </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Glazing</w:t>
            </w:r>
          </w:p>
        </w:tc>
        <w:tc>
          <w:tcPr>
            <w:tcW w:w="3152" w:type="dxa"/>
            <w:shd w:val="clear" w:color="auto" w:fill="auto"/>
          </w:tcPr>
          <w:p w:rsidR="00564B17" w:rsidRPr="006302F6" w:rsidRDefault="00564B17" w:rsidP="00955600">
            <w:pPr>
              <w:rPr>
                <w:szCs w:val="20"/>
              </w:rPr>
            </w:pPr>
            <w:r w:rsidRPr="006302F6">
              <w:rPr>
                <w:szCs w:val="20"/>
              </w:rPr>
              <w:t xml:space="preserve">An initial survey has been made of the building to identify any areas where safety glazing should be implemented. Further checks that any replacements are with safety glass are made as needed. </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Pr>
                <w:szCs w:val="20"/>
              </w:rPr>
              <w:t>L</w:t>
            </w:r>
            <w:r w:rsidRPr="006302F6">
              <w:rPr>
                <w:szCs w:val="20"/>
              </w:rPr>
              <w:t>ighting systems</w:t>
            </w:r>
          </w:p>
        </w:tc>
        <w:tc>
          <w:tcPr>
            <w:tcW w:w="3152" w:type="dxa"/>
            <w:shd w:val="clear" w:color="auto" w:fill="auto"/>
          </w:tcPr>
          <w:p w:rsidR="00564B17" w:rsidRPr="006302F6" w:rsidRDefault="00564B17" w:rsidP="005D51A1">
            <w:pPr>
              <w:rPr>
                <w:szCs w:val="20"/>
              </w:rPr>
            </w:pPr>
            <w:r w:rsidRPr="006302F6">
              <w:rPr>
                <w:szCs w:val="20"/>
              </w:rPr>
              <w:t xml:space="preserve">Emergency lighting systems are inspected and tested on a monthly basis by the </w:t>
            </w:r>
            <w:r w:rsidR="005D51A1">
              <w:rPr>
                <w:szCs w:val="20"/>
              </w:rPr>
              <w:t>site</w:t>
            </w:r>
            <w:r w:rsidRPr="006302F6">
              <w:rPr>
                <w:szCs w:val="20"/>
              </w:rPr>
              <w:t xml:space="preserve"> manager. There </w:t>
            </w:r>
            <w:r>
              <w:rPr>
                <w:szCs w:val="20"/>
              </w:rPr>
              <w:t>is</w:t>
            </w:r>
            <w:r w:rsidRPr="006302F6">
              <w:rPr>
                <w:szCs w:val="20"/>
              </w:rPr>
              <w:t xml:space="preserve"> a 1 hour duration test once every 6 months, </w:t>
            </w:r>
            <w:r>
              <w:rPr>
                <w:szCs w:val="20"/>
              </w:rPr>
              <w:t>which includes a 3 hour battery test by a competent person. A</w:t>
            </w:r>
            <w:r w:rsidRPr="006302F6">
              <w:rPr>
                <w:szCs w:val="20"/>
              </w:rPr>
              <w:t xml:space="preserve"> full duration</w:t>
            </w:r>
            <w:r>
              <w:rPr>
                <w:szCs w:val="20"/>
              </w:rPr>
              <w:t xml:space="preserve"> test takes place annually.</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Playground equipment (fixed)</w:t>
            </w:r>
          </w:p>
          <w:p w:rsidR="00564B17" w:rsidRPr="006302F6" w:rsidRDefault="00564B17" w:rsidP="00955600">
            <w:pPr>
              <w:rPr>
                <w:szCs w:val="20"/>
              </w:rPr>
            </w:pPr>
          </w:p>
        </w:tc>
        <w:tc>
          <w:tcPr>
            <w:tcW w:w="3152" w:type="dxa"/>
            <w:shd w:val="clear" w:color="auto" w:fill="auto"/>
          </w:tcPr>
          <w:p w:rsidR="00564B17" w:rsidRPr="006302F6" w:rsidRDefault="00564B17" w:rsidP="00734E4A">
            <w:pPr>
              <w:rPr>
                <w:szCs w:val="20"/>
              </w:rPr>
            </w:pPr>
            <w:r w:rsidRPr="006302F6">
              <w:rPr>
                <w:szCs w:val="20"/>
              </w:rPr>
              <w:t>Fixed playground equipment is inspected and tested annually</w:t>
            </w:r>
            <w:r>
              <w:rPr>
                <w:szCs w:val="20"/>
              </w:rPr>
              <w:t>.</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Water hygiene and safety</w:t>
            </w:r>
          </w:p>
        </w:tc>
        <w:tc>
          <w:tcPr>
            <w:tcW w:w="3152" w:type="dxa"/>
            <w:shd w:val="clear" w:color="auto" w:fill="auto"/>
          </w:tcPr>
          <w:p w:rsidR="00564B17" w:rsidRDefault="00564B17" w:rsidP="00955600">
            <w:pPr>
              <w:rPr>
                <w:szCs w:val="20"/>
              </w:rPr>
            </w:pPr>
            <w:r w:rsidRPr="006302F6">
              <w:rPr>
                <w:szCs w:val="20"/>
              </w:rPr>
              <w:t xml:space="preserve">For cold water systems, the plan of primary pipework and main isolation points is updated annually. A visual condition and compliance inspection is undertaken on an annual basis, as is a tank condition and compliance inspection. </w:t>
            </w:r>
          </w:p>
          <w:p w:rsidR="00564B17" w:rsidRPr="006302F6" w:rsidRDefault="00564B17" w:rsidP="00955600">
            <w:pPr>
              <w:rPr>
                <w:szCs w:val="20"/>
              </w:rPr>
            </w:pPr>
            <w:r w:rsidRPr="006302F6">
              <w:rPr>
                <w:szCs w:val="20"/>
              </w:rPr>
              <w:t xml:space="preserve">For hot water systems, a visual condition inspection is conducted on an annual basis. </w:t>
            </w:r>
          </w:p>
          <w:p w:rsidR="00564B17" w:rsidRDefault="00564B17" w:rsidP="00955600">
            <w:pPr>
              <w:rPr>
                <w:szCs w:val="20"/>
              </w:rPr>
            </w:pPr>
            <w:r w:rsidRPr="006302F6">
              <w:rPr>
                <w:szCs w:val="20"/>
              </w:rPr>
              <w:t xml:space="preserve">Maintenance checks are also carried out on all pipework devices annually. </w:t>
            </w:r>
          </w:p>
          <w:p w:rsidR="00564B17" w:rsidRPr="006302F6" w:rsidRDefault="00564B17" w:rsidP="00955600">
            <w:pPr>
              <w:rPr>
                <w:szCs w:val="20"/>
              </w:rPr>
            </w:pPr>
            <w:r w:rsidRPr="006302F6">
              <w:rPr>
                <w:szCs w:val="20"/>
              </w:rPr>
              <w:t xml:space="preserve">Water quality checks, and water and surface temperature checks, are completed at a frequency to be determined by our water </w:t>
            </w:r>
            <w:r w:rsidRPr="006302F6">
              <w:rPr>
                <w:szCs w:val="20"/>
              </w:rPr>
              <w:lastRenderedPageBreak/>
              <w:t>safety risk assessment.</w:t>
            </w:r>
            <w:r>
              <w:rPr>
                <w:szCs w:val="20"/>
              </w:rPr>
              <w:t xml:space="preserve"> These checks include identifying, assessing and monitoring sources of risk of legionella bacteria.</w:t>
            </w:r>
            <w:r w:rsidRPr="006302F6">
              <w:rPr>
                <w:szCs w:val="20"/>
              </w:rPr>
              <w:t xml:space="preserve"> </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Workstation assessments</w:t>
            </w:r>
          </w:p>
          <w:p w:rsidR="00564B17" w:rsidRPr="006302F6" w:rsidRDefault="00564B17" w:rsidP="00955600">
            <w:pPr>
              <w:rPr>
                <w:szCs w:val="20"/>
              </w:rPr>
            </w:pPr>
          </w:p>
        </w:tc>
        <w:tc>
          <w:tcPr>
            <w:tcW w:w="3152" w:type="dxa"/>
            <w:shd w:val="clear" w:color="auto" w:fill="auto"/>
          </w:tcPr>
          <w:p w:rsidR="00564B17" w:rsidRPr="006302F6" w:rsidRDefault="00564B17" w:rsidP="00955600">
            <w:pPr>
              <w:rPr>
                <w:szCs w:val="20"/>
              </w:rPr>
            </w:pPr>
            <w:r w:rsidRPr="006302F6">
              <w:rPr>
                <w:szCs w:val="20"/>
              </w:rPr>
              <w:t xml:space="preserve">Staff workstations are </w:t>
            </w:r>
            <w:proofErr w:type="spellStart"/>
            <w:r w:rsidRPr="006302F6">
              <w:rPr>
                <w:szCs w:val="20"/>
              </w:rPr>
              <w:t>analysed</w:t>
            </w:r>
            <w:proofErr w:type="spellEnd"/>
            <w:r w:rsidRPr="006302F6">
              <w:rPr>
                <w:szCs w:val="20"/>
              </w:rPr>
              <w:t xml:space="preserve"> to assess any health and safety risks whenever a new staff member is appointed, and also whenever a staff member is relocated to a different area</w:t>
            </w:r>
            <w:r>
              <w:rPr>
                <w:szCs w:val="20"/>
              </w:rPr>
              <w:t xml:space="preserve"> or significant changes are made</w:t>
            </w:r>
            <w:r w:rsidRPr="006302F6">
              <w:rPr>
                <w:szCs w:val="20"/>
              </w:rPr>
              <w:t>.</w:t>
            </w:r>
          </w:p>
        </w:tc>
        <w:tc>
          <w:tcPr>
            <w:tcW w:w="2835" w:type="dxa"/>
          </w:tcPr>
          <w:p w:rsidR="00564B17" w:rsidRPr="006302F6" w:rsidRDefault="00564B17" w:rsidP="00955600">
            <w:pPr>
              <w:rPr>
                <w:szCs w:val="20"/>
              </w:rPr>
            </w:pPr>
          </w:p>
        </w:tc>
      </w:tr>
      <w:tr w:rsidR="00564B17" w:rsidRPr="00DA50A5" w:rsidTr="00955600">
        <w:tc>
          <w:tcPr>
            <w:tcW w:w="3147" w:type="dxa"/>
            <w:shd w:val="clear" w:color="auto" w:fill="auto"/>
          </w:tcPr>
          <w:p w:rsidR="00564B17" w:rsidRPr="006302F6" w:rsidRDefault="00564B17" w:rsidP="00955600">
            <w:pPr>
              <w:rPr>
                <w:szCs w:val="20"/>
              </w:rPr>
            </w:pPr>
            <w:r w:rsidRPr="006302F6">
              <w:rPr>
                <w:szCs w:val="20"/>
              </w:rPr>
              <w:t>Working at height</w:t>
            </w:r>
          </w:p>
          <w:p w:rsidR="00564B17" w:rsidRPr="006302F6" w:rsidRDefault="00564B17" w:rsidP="00955600">
            <w:pPr>
              <w:rPr>
                <w:szCs w:val="20"/>
              </w:rPr>
            </w:pPr>
          </w:p>
        </w:tc>
        <w:tc>
          <w:tcPr>
            <w:tcW w:w="3152" w:type="dxa"/>
            <w:shd w:val="clear" w:color="auto" w:fill="auto"/>
          </w:tcPr>
          <w:p w:rsidR="00564B17" w:rsidRPr="006302F6" w:rsidRDefault="00564B17" w:rsidP="00955600">
            <w:pPr>
              <w:rPr>
                <w:szCs w:val="20"/>
              </w:rPr>
            </w:pPr>
            <w:r w:rsidRPr="006302F6">
              <w:rPr>
                <w:szCs w:val="20"/>
              </w:rPr>
              <w:t xml:space="preserve">Equipment used for working at height is inspected and tested on an annual basis. </w:t>
            </w:r>
          </w:p>
        </w:tc>
        <w:tc>
          <w:tcPr>
            <w:tcW w:w="2835" w:type="dxa"/>
          </w:tcPr>
          <w:p w:rsidR="00564B17" w:rsidRPr="006302F6" w:rsidRDefault="00564B17" w:rsidP="00955600">
            <w:pPr>
              <w:rPr>
                <w:szCs w:val="20"/>
              </w:rPr>
            </w:pPr>
          </w:p>
        </w:tc>
      </w:tr>
    </w:tbl>
    <w:p w:rsidR="00734E4A" w:rsidRDefault="00734E4A" w:rsidP="00564B17">
      <w:pPr>
        <w:pStyle w:val="Heading1"/>
      </w:pPr>
      <w:bookmarkStart w:id="5" w:name="_Toc497386609"/>
    </w:p>
    <w:p w:rsidR="00564B17" w:rsidRDefault="00564B17" w:rsidP="00564B17">
      <w:pPr>
        <w:pStyle w:val="Heading1"/>
      </w:pPr>
      <w:r>
        <w:t>5. Risk assessments and other checks</w:t>
      </w:r>
      <w:bookmarkEnd w:id="5"/>
    </w:p>
    <w:p w:rsidR="00564B17" w:rsidRDefault="00564B17" w:rsidP="00564B17">
      <w:r>
        <w:t>Please refer to our risk assessment policy for information about the school’s approach to risk assessment.</w:t>
      </w:r>
    </w:p>
    <w:p w:rsidR="00564B17" w:rsidRDefault="00564B17" w:rsidP="00564B17">
      <w:r>
        <w:t>In addition to the risk assessments the school is required to have in place (please refer to our risk assessment policy and health and safety policy for more information</w:t>
      </w:r>
      <w:r w:rsidRPr="00806DC9">
        <w:rPr>
          <w:color w:val="F15F22"/>
        </w:rPr>
        <w:t>*</w:t>
      </w:r>
      <w:r>
        <w:t>), we ensure we have risk assessments in place, regularly updated, to cover:</w:t>
      </w:r>
    </w:p>
    <w:p w:rsidR="00564B17" w:rsidRDefault="00564B17" w:rsidP="00564B17">
      <w:pPr>
        <w:widowControl/>
        <w:numPr>
          <w:ilvl w:val="0"/>
          <w:numId w:val="13"/>
        </w:numPr>
        <w:autoSpaceDE/>
        <w:autoSpaceDN/>
        <w:spacing w:before="120" w:after="120"/>
        <w:ind w:left="567" w:hanging="283"/>
      </w:pPr>
      <w:r>
        <w:t xml:space="preserve">Car parking and vehicle/pedestrian segregation </w:t>
      </w:r>
    </w:p>
    <w:p w:rsidR="00564B17" w:rsidRDefault="00564B17" w:rsidP="00564B17">
      <w:pPr>
        <w:widowControl/>
        <w:numPr>
          <w:ilvl w:val="0"/>
          <w:numId w:val="13"/>
        </w:numPr>
        <w:autoSpaceDE/>
        <w:autoSpaceDN/>
        <w:spacing w:before="120" w:after="120"/>
        <w:ind w:left="567" w:hanging="283"/>
      </w:pPr>
      <w:r>
        <w:t xml:space="preserve">Tree safety </w:t>
      </w:r>
    </w:p>
    <w:p w:rsidR="00564B17" w:rsidRDefault="00564B17" w:rsidP="00564B17">
      <w:r>
        <w:t xml:space="preserve">The school also ensures further checks are made to confirm the following: </w:t>
      </w:r>
    </w:p>
    <w:p w:rsidR="00564B17" w:rsidRDefault="00564B17" w:rsidP="00564B17">
      <w:pPr>
        <w:widowControl/>
        <w:numPr>
          <w:ilvl w:val="0"/>
          <w:numId w:val="13"/>
        </w:numPr>
        <w:autoSpaceDE/>
        <w:autoSpaceDN/>
        <w:spacing w:before="120" w:after="120"/>
        <w:ind w:left="567" w:hanging="283"/>
      </w:pPr>
      <w:r>
        <w:t xml:space="preserve">Correct and up-to-date information is displayed in all notices </w:t>
      </w:r>
    </w:p>
    <w:p w:rsidR="00564B17" w:rsidRDefault="00564B17" w:rsidP="00564B17">
      <w:pPr>
        <w:widowControl/>
        <w:numPr>
          <w:ilvl w:val="0"/>
          <w:numId w:val="13"/>
        </w:numPr>
        <w:autoSpaceDE/>
        <w:autoSpaceDN/>
        <w:spacing w:before="120" w:after="120"/>
        <w:ind w:left="567" w:hanging="283"/>
      </w:pPr>
      <w:r>
        <w:t xml:space="preserve">Contractors have the necessary qualifications to carry out the specified work </w:t>
      </w:r>
    </w:p>
    <w:p w:rsidR="00564B17" w:rsidRDefault="00564B17" w:rsidP="00564B17">
      <w:pPr>
        <w:widowControl/>
        <w:numPr>
          <w:ilvl w:val="0"/>
          <w:numId w:val="13"/>
        </w:numPr>
        <w:autoSpaceDE/>
        <w:autoSpaceDN/>
        <w:spacing w:before="120" w:after="120"/>
        <w:ind w:left="567" w:hanging="283"/>
      </w:pPr>
      <w:r>
        <w:t>Compliance with the Equality Act 2010 when making changes or alterations to a building or the external environment</w:t>
      </w:r>
    </w:p>
    <w:p w:rsidR="00564B17" w:rsidRDefault="00564B17" w:rsidP="00564B17"/>
    <w:p w:rsidR="00564B17" w:rsidRDefault="00564B17" w:rsidP="00564B17">
      <w:pPr>
        <w:pStyle w:val="Heading1"/>
      </w:pPr>
      <w:bookmarkStart w:id="6" w:name="_Toc497386610"/>
      <w:r>
        <w:t>6. Monitoring arrangements</w:t>
      </w:r>
      <w:bookmarkEnd w:id="6"/>
    </w:p>
    <w:p w:rsidR="00564B17" w:rsidRDefault="00564B17" w:rsidP="00564B17">
      <w:r>
        <w:t xml:space="preserve">The application of this policy is monitored by the </w:t>
      </w:r>
      <w:r w:rsidR="005D51A1">
        <w:t>Site Manager</w:t>
      </w:r>
      <w:r>
        <w:t xml:space="preserve"> and the </w:t>
      </w:r>
      <w:r w:rsidR="00734E4A">
        <w:t>school business manager</w:t>
      </w:r>
      <w:r>
        <w:t xml:space="preserve"> through, among other things, visual checks of the school site and equipment, and checks of risk assessments. </w:t>
      </w:r>
    </w:p>
    <w:p w:rsidR="00564B17" w:rsidRDefault="00564B17" w:rsidP="00564B17">
      <w:r>
        <w:t xml:space="preserve">Copies of risk assessments and paperwork relating to any checks are kept in the school office. </w:t>
      </w:r>
    </w:p>
    <w:p w:rsidR="00734E4A" w:rsidRDefault="00734E4A" w:rsidP="00564B17">
      <w:pPr>
        <w:pStyle w:val="Heading1"/>
      </w:pPr>
      <w:bookmarkStart w:id="7" w:name="_Toc497386611"/>
    </w:p>
    <w:p w:rsidR="00564B17" w:rsidRDefault="00564B17" w:rsidP="00564B17">
      <w:pPr>
        <w:pStyle w:val="Heading1"/>
      </w:pPr>
      <w:r>
        <w:t>7. Links with other policies</w:t>
      </w:r>
      <w:bookmarkEnd w:id="7"/>
    </w:p>
    <w:p w:rsidR="00564B17" w:rsidRDefault="00564B17" w:rsidP="00564B17">
      <w:r>
        <w:t>This premises management policy is linked to:</w:t>
      </w:r>
    </w:p>
    <w:p w:rsidR="00564B17" w:rsidRDefault="00564B17" w:rsidP="00564B17">
      <w:pPr>
        <w:widowControl/>
        <w:numPr>
          <w:ilvl w:val="0"/>
          <w:numId w:val="13"/>
        </w:numPr>
        <w:autoSpaceDE/>
        <w:autoSpaceDN/>
        <w:spacing w:before="120" w:after="120"/>
        <w:ind w:left="567" w:hanging="283"/>
      </w:pPr>
      <w:r>
        <w:t>Health and safety policy</w:t>
      </w:r>
    </w:p>
    <w:p w:rsidR="00564B17" w:rsidRDefault="00564B17" w:rsidP="00564B17">
      <w:pPr>
        <w:widowControl/>
        <w:numPr>
          <w:ilvl w:val="0"/>
          <w:numId w:val="13"/>
        </w:numPr>
        <w:autoSpaceDE/>
        <w:autoSpaceDN/>
        <w:spacing w:before="120" w:after="120"/>
        <w:ind w:left="567" w:hanging="283"/>
      </w:pPr>
      <w:r>
        <w:t>Risk assessment policy</w:t>
      </w:r>
    </w:p>
    <w:p w:rsidR="00564B17" w:rsidRPr="0028181B" w:rsidRDefault="00564B17" w:rsidP="00564B17">
      <w:pPr>
        <w:pStyle w:val="Caption1"/>
      </w:pPr>
      <w:r>
        <w:t>.</w:t>
      </w:r>
    </w:p>
    <w:p w:rsidR="00A579E8" w:rsidRPr="006B17B4" w:rsidRDefault="00A579E8" w:rsidP="00564B17">
      <w:pPr>
        <w:spacing w:before="89"/>
        <w:rPr>
          <w:sz w:val="24"/>
          <w:szCs w:val="24"/>
        </w:rPr>
      </w:pPr>
    </w:p>
    <w:sectPr w:rsidR="00A579E8" w:rsidRPr="006B17B4" w:rsidSect="00430D68">
      <w:footerReference w:type="default" r:id="rId13"/>
      <w:pgSz w:w="12240" w:h="15840"/>
      <w:pgMar w:top="697" w:right="1474" w:bottom="278"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12" w:rsidRDefault="000D6D12" w:rsidP="006B17B4">
      <w:r>
        <w:separator/>
      </w:r>
    </w:p>
  </w:endnote>
  <w:endnote w:type="continuationSeparator" w:id="0">
    <w:p w:rsidR="000D6D12" w:rsidRDefault="000D6D12" w:rsidP="006B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20767"/>
      <w:docPartObj>
        <w:docPartGallery w:val="Page Numbers (Bottom of Page)"/>
        <w:docPartUnique/>
      </w:docPartObj>
    </w:sdtPr>
    <w:sdtEndPr>
      <w:rPr>
        <w:noProof/>
      </w:rPr>
    </w:sdtEndPr>
    <w:sdtContent>
      <w:p w:rsidR="006B17B4" w:rsidRDefault="005D51A1" w:rsidP="003415E3">
        <w:pPr>
          <w:pStyle w:val="Footer"/>
        </w:pPr>
        <w:r>
          <w:t>Updated October 2019</w:t>
        </w:r>
        <w:r w:rsidR="003415E3">
          <w:t xml:space="preserve">                                                                                                           </w:t>
        </w:r>
        <w:r w:rsidR="006B17B4" w:rsidRPr="006B17B4">
          <w:rPr>
            <w:sz w:val="20"/>
          </w:rPr>
          <w:fldChar w:fldCharType="begin"/>
        </w:r>
        <w:r w:rsidR="006B17B4" w:rsidRPr="006B17B4">
          <w:rPr>
            <w:sz w:val="20"/>
          </w:rPr>
          <w:instrText xml:space="preserve"> PAGE   \* MERGEFORMAT </w:instrText>
        </w:r>
        <w:r w:rsidR="006B17B4" w:rsidRPr="006B17B4">
          <w:rPr>
            <w:sz w:val="20"/>
          </w:rPr>
          <w:fldChar w:fldCharType="separate"/>
        </w:r>
        <w:r w:rsidR="006D652C">
          <w:rPr>
            <w:noProof/>
            <w:sz w:val="20"/>
          </w:rPr>
          <w:t>1</w:t>
        </w:r>
        <w:r w:rsidR="006B17B4" w:rsidRPr="006B17B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12" w:rsidRDefault="000D6D12" w:rsidP="006B17B4">
      <w:r>
        <w:separator/>
      </w:r>
    </w:p>
  </w:footnote>
  <w:footnote w:type="continuationSeparator" w:id="0">
    <w:p w:rsidR="000D6D12" w:rsidRDefault="000D6D12" w:rsidP="006B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7A8"/>
    <w:multiLevelType w:val="hybridMultilevel"/>
    <w:tmpl w:val="12DE4EA4"/>
    <w:lvl w:ilvl="0" w:tplc="4798F85A">
      <w:numFmt w:val="bullet"/>
      <w:lvlText w:val=""/>
      <w:lvlJc w:val="left"/>
      <w:pPr>
        <w:ind w:left="839" w:hanging="360"/>
      </w:pPr>
      <w:rPr>
        <w:rFonts w:ascii="Symbol" w:eastAsia="Symbol" w:hAnsi="Symbol" w:cs="Symbol" w:hint="default"/>
        <w:w w:val="100"/>
        <w:sz w:val="24"/>
        <w:szCs w:val="24"/>
      </w:rPr>
    </w:lvl>
    <w:lvl w:ilvl="1" w:tplc="5E428CE6">
      <w:numFmt w:val="bullet"/>
      <w:lvlText w:val=""/>
      <w:lvlJc w:val="left"/>
      <w:pPr>
        <w:ind w:left="1518" w:hanging="360"/>
      </w:pPr>
      <w:rPr>
        <w:rFonts w:ascii="Symbol" w:eastAsia="Symbol" w:hAnsi="Symbol" w:cs="Symbol" w:hint="default"/>
        <w:w w:val="100"/>
        <w:sz w:val="24"/>
        <w:szCs w:val="24"/>
      </w:rPr>
    </w:lvl>
    <w:lvl w:ilvl="2" w:tplc="D4541B1E">
      <w:numFmt w:val="bullet"/>
      <w:lvlText w:val="•"/>
      <w:lvlJc w:val="left"/>
      <w:pPr>
        <w:ind w:left="1520" w:hanging="360"/>
      </w:pPr>
      <w:rPr>
        <w:rFonts w:hint="default"/>
      </w:rPr>
    </w:lvl>
    <w:lvl w:ilvl="3" w:tplc="97143DCE">
      <w:numFmt w:val="bullet"/>
      <w:lvlText w:val="•"/>
      <w:lvlJc w:val="left"/>
      <w:pPr>
        <w:ind w:left="2612" w:hanging="360"/>
      </w:pPr>
      <w:rPr>
        <w:rFonts w:hint="default"/>
      </w:rPr>
    </w:lvl>
    <w:lvl w:ilvl="4" w:tplc="7E004B58">
      <w:numFmt w:val="bullet"/>
      <w:lvlText w:val="•"/>
      <w:lvlJc w:val="left"/>
      <w:pPr>
        <w:ind w:left="3705" w:hanging="360"/>
      </w:pPr>
      <w:rPr>
        <w:rFonts w:hint="default"/>
      </w:rPr>
    </w:lvl>
    <w:lvl w:ilvl="5" w:tplc="CEC6FD64">
      <w:numFmt w:val="bullet"/>
      <w:lvlText w:val="•"/>
      <w:lvlJc w:val="left"/>
      <w:pPr>
        <w:ind w:left="4797" w:hanging="360"/>
      </w:pPr>
      <w:rPr>
        <w:rFonts w:hint="default"/>
      </w:rPr>
    </w:lvl>
    <w:lvl w:ilvl="6" w:tplc="804669D6">
      <w:numFmt w:val="bullet"/>
      <w:lvlText w:val="•"/>
      <w:lvlJc w:val="left"/>
      <w:pPr>
        <w:ind w:left="5890" w:hanging="360"/>
      </w:pPr>
      <w:rPr>
        <w:rFonts w:hint="default"/>
      </w:rPr>
    </w:lvl>
    <w:lvl w:ilvl="7" w:tplc="9C4EC46E">
      <w:numFmt w:val="bullet"/>
      <w:lvlText w:val="•"/>
      <w:lvlJc w:val="left"/>
      <w:pPr>
        <w:ind w:left="6982" w:hanging="360"/>
      </w:pPr>
      <w:rPr>
        <w:rFonts w:hint="default"/>
      </w:rPr>
    </w:lvl>
    <w:lvl w:ilvl="8" w:tplc="417A7498">
      <w:numFmt w:val="bullet"/>
      <w:lvlText w:val="•"/>
      <w:lvlJc w:val="left"/>
      <w:pPr>
        <w:ind w:left="8075" w:hanging="360"/>
      </w:pPr>
      <w:rPr>
        <w:rFonts w:hint="default"/>
      </w:rPr>
    </w:lvl>
  </w:abstractNum>
  <w:abstractNum w:abstractNumId="1" w15:restartNumberingAfterBreak="0">
    <w:nsid w:val="050F4414"/>
    <w:multiLevelType w:val="hybridMultilevel"/>
    <w:tmpl w:val="FE5EFBE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15:restartNumberingAfterBreak="0">
    <w:nsid w:val="051F30D8"/>
    <w:multiLevelType w:val="hybridMultilevel"/>
    <w:tmpl w:val="5C7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570E5"/>
    <w:multiLevelType w:val="hybridMultilevel"/>
    <w:tmpl w:val="DBA04CE0"/>
    <w:lvl w:ilvl="0" w:tplc="F9AAB4D4">
      <w:numFmt w:val="bullet"/>
      <w:lvlText w:val=""/>
      <w:lvlJc w:val="left"/>
      <w:pPr>
        <w:ind w:left="698" w:hanging="361"/>
      </w:pPr>
      <w:rPr>
        <w:rFonts w:ascii="Symbol" w:eastAsia="Symbol" w:hAnsi="Symbol" w:cs="Symbol" w:hint="default"/>
        <w:w w:val="100"/>
        <w:sz w:val="24"/>
        <w:szCs w:val="24"/>
      </w:rPr>
    </w:lvl>
    <w:lvl w:ilvl="1" w:tplc="C81085F0">
      <w:numFmt w:val="bullet"/>
      <w:lvlText w:val=""/>
      <w:lvlJc w:val="left"/>
      <w:pPr>
        <w:ind w:left="1245" w:hanging="360"/>
      </w:pPr>
      <w:rPr>
        <w:rFonts w:ascii="Symbol" w:eastAsia="Symbol" w:hAnsi="Symbol" w:cs="Symbol" w:hint="default"/>
        <w:w w:val="100"/>
        <w:sz w:val="24"/>
        <w:szCs w:val="24"/>
      </w:rPr>
    </w:lvl>
    <w:lvl w:ilvl="2" w:tplc="AAF89CA6">
      <w:numFmt w:val="bullet"/>
      <w:lvlText w:val="•"/>
      <w:lvlJc w:val="left"/>
      <w:pPr>
        <w:ind w:left="2242" w:hanging="360"/>
      </w:pPr>
      <w:rPr>
        <w:rFonts w:hint="default"/>
      </w:rPr>
    </w:lvl>
    <w:lvl w:ilvl="3" w:tplc="2D1C14A8">
      <w:numFmt w:val="bullet"/>
      <w:lvlText w:val="•"/>
      <w:lvlJc w:val="left"/>
      <w:pPr>
        <w:ind w:left="3244" w:hanging="360"/>
      </w:pPr>
      <w:rPr>
        <w:rFonts w:hint="default"/>
      </w:rPr>
    </w:lvl>
    <w:lvl w:ilvl="4" w:tplc="C172CFEA">
      <w:numFmt w:val="bullet"/>
      <w:lvlText w:val="•"/>
      <w:lvlJc w:val="left"/>
      <w:pPr>
        <w:ind w:left="4246" w:hanging="360"/>
      </w:pPr>
      <w:rPr>
        <w:rFonts w:hint="default"/>
      </w:rPr>
    </w:lvl>
    <w:lvl w:ilvl="5" w:tplc="D1240D0C">
      <w:numFmt w:val="bullet"/>
      <w:lvlText w:val="•"/>
      <w:lvlJc w:val="left"/>
      <w:pPr>
        <w:ind w:left="5248" w:hanging="360"/>
      </w:pPr>
      <w:rPr>
        <w:rFonts w:hint="default"/>
      </w:rPr>
    </w:lvl>
    <w:lvl w:ilvl="6" w:tplc="F7C2808C">
      <w:numFmt w:val="bullet"/>
      <w:lvlText w:val="•"/>
      <w:lvlJc w:val="left"/>
      <w:pPr>
        <w:ind w:left="6251" w:hanging="360"/>
      </w:pPr>
      <w:rPr>
        <w:rFonts w:hint="default"/>
      </w:rPr>
    </w:lvl>
    <w:lvl w:ilvl="7" w:tplc="0306761E">
      <w:numFmt w:val="bullet"/>
      <w:lvlText w:val="•"/>
      <w:lvlJc w:val="left"/>
      <w:pPr>
        <w:ind w:left="7253" w:hanging="360"/>
      </w:pPr>
      <w:rPr>
        <w:rFonts w:hint="default"/>
      </w:rPr>
    </w:lvl>
    <w:lvl w:ilvl="8" w:tplc="F33CD5A6">
      <w:numFmt w:val="bullet"/>
      <w:lvlText w:val="•"/>
      <w:lvlJc w:val="left"/>
      <w:pPr>
        <w:ind w:left="8255" w:hanging="360"/>
      </w:pPr>
      <w:rPr>
        <w:rFonts w:hint="default"/>
      </w:rPr>
    </w:lvl>
  </w:abstractNum>
  <w:abstractNum w:abstractNumId="4" w15:restartNumberingAfterBreak="0">
    <w:nsid w:val="3BA01AB8"/>
    <w:multiLevelType w:val="hybridMultilevel"/>
    <w:tmpl w:val="96386AE0"/>
    <w:lvl w:ilvl="0" w:tplc="AEEADB6A">
      <w:numFmt w:val="bullet"/>
      <w:lvlText w:val=""/>
      <w:lvlJc w:val="left"/>
      <w:pPr>
        <w:ind w:left="341" w:hanging="332"/>
      </w:pPr>
      <w:rPr>
        <w:rFonts w:ascii="Wingdings" w:eastAsia="Wingdings" w:hAnsi="Wingdings" w:cs="Wingdings" w:hint="default"/>
        <w:w w:val="100"/>
        <w:sz w:val="23"/>
        <w:szCs w:val="23"/>
      </w:rPr>
    </w:lvl>
    <w:lvl w:ilvl="1" w:tplc="013A7C5A">
      <w:numFmt w:val="bullet"/>
      <w:lvlText w:val="•"/>
      <w:lvlJc w:val="left"/>
      <w:pPr>
        <w:ind w:left="805" w:hanging="332"/>
      </w:pPr>
      <w:rPr>
        <w:rFonts w:hint="default"/>
      </w:rPr>
    </w:lvl>
    <w:lvl w:ilvl="2" w:tplc="1B665976">
      <w:numFmt w:val="bullet"/>
      <w:lvlText w:val="•"/>
      <w:lvlJc w:val="left"/>
      <w:pPr>
        <w:ind w:left="1271" w:hanging="332"/>
      </w:pPr>
      <w:rPr>
        <w:rFonts w:hint="default"/>
      </w:rPr>
    </w:lvl>
    <w:lvl w:ilvl="3" w:tplc="8AF68DBC">
      <w:numFmt w:val="bullet"/>
      <w:lvlText w:val="•"/>
      <w:lvlJc w:val="left"/>
      <w:pPr>
        <w:ind w:left="1737" w:hanging="332"/>
      </w:pPr>
      <w:rPr>
        <w:rFonts w:hint="default"/>
      </w:rPr>
    </w:lvl>
    <w:lvl w:ilvl="4" w:tplc="FA0A12E0">
      <w:numFmt w:val="bullet"/>
      <w:lvlText w:val="•"/>
      <w:lvlJc w:val="left"/>
      <w:pPr>
        <w:ind w:left="2203" w:hanging="332"/>
      </w:pPr>
      <w:rPr>
        <w:rFonts w:hint="default"/>
      </w:rPr>
    </w:lvl>
    <w:lvl w:ilvl="5" w:tplc="79CAC534">
      <w:numFmt w:val="bullet"/>
      <w:lvlText w:val="•"/>
      <w:lvlJc w:val="left"/>
      <w:pPr>
        <w:ind w:left="2669" w:hanging="332"/>
      </w:pPr>
      <w:rPr>
        <w:rFonts w:hint="default"/>
      </w:rPr>
    </w:lvl>
    <w:lvl w:ilvl="6" w:tplc="E42AB11E">
      <w:numFmt w:val="bullet"/>
      <w:lvlText w:val="•"/>
      <w:lvlJc w:val="left"/>
      <w:pPr>
        <w:ind w:left="3135" w:hanging="332"/>
      </w:pPr>
      <w:rPr>
        <w:rFonts w:hint="default"/>
      </w:rPr>
    </w:lvl>
    <w:lvl w:ilvl="7" w:tplc="3DD689EA">
      <w:numFmt w:val="bullet"/>
      <w:lvlText w:val="•"/>
      <w:lvlJc w:val="left"/>
      <w:pPr>
        <w:ind w:left="3601" w:hanging="332"/>
      </w:pPr>
      <w:rPr>
        <w:rFonts w:hint="default"/>
      </w:rPr>
    </w:lvl>
    <w:lvl w:ilvl="8" w:tplc="3E080D60">
      <w:numFmt w:val="bullet"/>
      <w:lvlText w:val="•"/>
      <w:lvlJc w:val="left"/>
      <w:pPr>
        <w:ind w:left="4067" w:hanging="332"/>
      </w:pPr>
      <w:rPr>
        <w:rFonts w:hint="default"/>
      </w:rPr>
    </w:lvl>
  </w:abstractNum>
  <w:abstractNum w:abstractNumId="5" w15:restartNumberingAfterBreak="0">
    <w:nsid w:val="3ED65B7E"/>
    <w:multiLevelType w:val="hybridMultilevel"/>
    <w:tmpl w:val="543E62F2"/>
    <w:lvl w:ilvl="0" w:tplc="5AB2DE22">
      <w:numFmt w:val="bullet"/>
      <w:lvlText w:val=""/>
      <w:lvlJc w:val="left"/>
      <w:pPr>
        <w:ind w:left="560" w:hanging="332"/>
      </w:pPr>
      <w:rPr>
        <w:rFonts w:hint="default"/>
        <w:w w:val="100"/>
      </w:rPr>
    </w:lvl>
    <w:lvl w:ilvl="1" w:tplc="382C6A8C">
      <w:numFmt w:val="bullet"/>
      <w:lvlText w:val="•"/>
      <w:lvlJc w:val="left"/>
      <w:pPr>
        <w:ind w:left="1070" w:hanging="332"/>
      </w:pPr>
      <w:rPr>
        <w:rFonts w:hint="default"/>
      </w:rPr>
    </w:lvl>
    <w:lvl w:ilvl="2" w:tplc="F7AAD7D0">
      <w:numFmt w:val="bullet"/>
      <w:lvlText w:val="•"/>
      <w:lvlJc w:val="left"/>
      <w:pPr>
        <w:ind w:left="1580" w:hanging="332"/>
      </w:pPr>
      <w:rPr>
        <w:rFonts w:hint="default"/>
      </w:rPr>
    </w:lvl>
    <w:lvl w:ilvl="3" w:tplc="FA04F310">
      <w:numFmt w:val="bullet"/>
      <w:lvlText w:val="•"/>
      <w:lvlJc w:val="left"/>
      <w:pPr>
        <w:ind w:left="2090" w:hanging="332"/>
      </w:pPr>
      <w:rPr>
        <w:rFonts w:hint="default"/>
      </w:rPr>
    </w:lvl>
    <w:lvl w:ilvl="4" w:tplc="6428A70E">
      <w:numFmt w:val="bullet"/>
      <w:lvlText w:val="•"/>
      <w:lvlJc w:val="left"/>
      <w:pPr>
        <w:ind w:left="2600" w:hanging="332"/>
      </w:pPr>
      <w:rPr>
        <w:rFonts w:hint="default"/>
      </w:rPr>
    </w:lvl>
    <w:lvl w:ilvl="5" w:tplc="5D04B478">
      <w:numFmt w:val="bullet"/>
      <w:lvlText w:val="•"/>
      <w:lvlJc w:val="left"/>
      <w:pPr>
        <w:ind w:left="3110" w:hanging="332"/>
      </w:pPr>
      <w:rPr>
        <w:rFonts w:hint="default"/>
      </w:rPr>
    </w:lvl>
    <w:lvl w:ilvl="6" w:tplc="D0B2C3A4">
      <w:numFmt w:val="bullet"/>
      <w:lvlText w:val="•"/>
      <w:lvlJc w:val="left"/>
      <w:pPr>
        <w:ind w:left="3620" w:hanging="332"/>
      </w:pPr>
      <w:rPr>
        <w:rFonts w:hint="default"/>
      </w:rPr>
    </w:lvl>
    <w:lvl w:ilvl="7" w:tplc="101073DE">
      <w:numFmt w:val="bullet"/>
      <w:lvlText w:val="•"/>
      <w:lvlJc w:val="left"/>
      <w:pPr>
        <w:ind w:left="4130" w:hanging="332"/>
      </w:pPr>
      <w:rPr>
        <w:rFonts w:hint="default"/>
      </w:rPr>
    </w:lvl>
    <w:lvl w:ilvl="8" w:tplc="91D05B44">
      <w:numFmt w:val="bullet"/>
      <w:lvlText w:val="•"/>
      <w:lvlJc w:val="left"/>
      <w:pPr>
        <w:ind w:left="4640" w:hanging="332"/>
      </w:pPr>
      <w:rPr>
        <w:rFonts w:hint="default"/>
      </w:rPr>
    </w:lvl>
  </w:abstractNum>
  <w:abstractNum w:abstractNumId="6" w15:restartNumberingAfterBreak="0">
    <w:nsid w:val="4514527C"/>
    <w:multiLevelType w:val="hybridMultilevel"/>
    <w:tmpl w:val="1DB072E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583B0D5C"/>
    <w:multiLevelType w:val="hybridMultilevel"/>
    <w:tmpl w:val="7FAC7650"/>
    <w:lvl w:ilvl="0" w:tplc="80DC13C2">
      <w:start w:val="1"/>
      <w:numFmt w:val="decimal"/>
      <w:lvlText w:val="%1."/>
      <w:lvlJc w:val="left"/>
      <w:pPr>
        <w:ind w:left="475" w:hanging="257"/>
        <w:jc w:val="left"/>
      </w:pPr>
      <w:rPr>
        <w:rFonts w:ascii="Arial" w:eastAsia="Arial" w:hAnsi="Arial" w:cs="Arial" w:hint="default"/>
        <w:b/>
        <w:bCs/>
        <w:spacing w:val="-1"/>
        <w:w w:val="100"/>
        <w:sz w:val="23"/>
        <w:szCs w:val="23"/>
      </w:rPr>
    </w:lvl>
    <w:lvl w:ilvl="1" w:tplc="742C5E28">
      <w:numFmt w:val="bullet"/>
      <w:lvlText w:val="•"/>
      <w:lvlJc w:val="left"/>
      <w:pPr>
        <w:ind w:left="998" w:hanging="257"/>
      </w:pPr>
      <w:rPr>
        <w:rFonts w:hint="default"/>
      </w:rPr>
    </w:lvl>
    <w:lvl w:ilvl="2" w:tplc="995E54F6">
      <w:numFmt w:val="bullet"/>
      <w:lvlText w:val="•"/>
      <w:lvlJc w:val="left"/>
      <w:pPr>
        <w:ind w:left="1516" w:hanging="257"/>
      </w:pPr>
      <w:rPr>
        <w:rFonts w:hint="default"/>
      </w:rPr>
    </w:lvl>
    <w:lvl w:ilvl="3" w:tplc="DBEEC46A">
      <w:numFmt w:val="bullet"/>
      <w:lvlText w:val="•"/>
      <w:lvlJc w:val="left"/>
      <w:pPr>
        <w:ind w:left="2034" w:hanging="257"/>
      </w:pPr>
      <w:rPr>
        <w:rFonts w:hint="default"/>
      </w:rPr>
    </w:lvl>
    <w:lvl w:ilvl="4" w:tplc="A74A479E">
      <w:numFmt w:val="bullet"/>
      <w:lvlText w:val="•"/>
      <w:lvlJc w:val="left"/>
      <w:pPr>
        <w:ind w:left="2552" w:hanging="257"/>
      </w:pPr>
      <w:rPr>
        <w:rFonts w:hint="default"/>
      </w:rPr>
    </w:lvl>
    <w:lvl w:ilvl="5" w:tplc="0A162C54">
      <w:numFmt w:val="bullet"/>
      <w:lvlText w:val="•"/>
      <w:lvlJc w:val="left"/>
      <w:pPr>
        <w:ind w:left="3070" w:hanging="257"/>
      </w:pPr>
      <w:rPr>
        <w:rFonts w:hint="default"/>
      </w:rPr>
    </w:lvl>
    <w:lvl w:ilvl="6" w:tplc="E2462A7A">
      <w:numFmt w:val="bullet"/>
      <w:lvlText w:val="•"/>
      <w:lvlJc w:val="left"/>
      <w:pPr>
        <w:ind w:left="3588" w:hanging="257"/>
      </w:pPr>
      <w:rPr>
        <w:rFonts w:hint="default"/>
      </w:rPr>
    </w:lvl>
    <w:lvl w:ilvl="7" w:tplc="01E4C58C">
      <w:numFmt w:val="bullet"/>
      <w:lvlText w:val="•"/>
      <w:lvlJc w:val="left"/>
      <w:pPr>
        <w:ind w:left="4106" w:hanging="257"/>
      </w:pPr>
      <w:rPr>
        <w:rFonts w:hint="default"/>
      </w:rPr>
    </w:lvl>
    <w:lvl w:ilvl="8" w:tplc="3CC244E8">
      <w:numFmt w:val="bullet"/>
      <w:lvlText w:val="•"/>
      <w:lvlJc w:val="left"/>
      <w:pPr>
        <w:ind w:left="4624" w:hanging="257"/>
      </w:pPr>
      <w:rPr>
        <w:rFonts w:hint="default"/>
      </w:rPr>
    </w:lvl>
  </w:abstractNum>
  <w:abstractNum w:abstractNumId="8" w15:restartNumberingAfterBreak="0">
    <w:nsid w:val="586140E8"/>
    <w:multiLevelType w:val="hybridMultilevel"/>
    <w:tmpl w:val="872059A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657343FB"/>
    <w:multiLevelType w:val="hybridMultilevel"/>
    <w:tmpl w:val="57A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69C063A"/>
    <w:multiLevelType w:val="hybridMultilevel"/>
    <w:tmpl w:val="24A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10649"/>
    <w:multiLevelType w:val="hybridMultilevel"/>
    <w:tmpl w:val="9F7E3B16"/>
    <w:lvl w:ilvl="0" w:tplc="2890A762">
      <w:numFmt w:val="bullet"/>
      <w:lvlText w:val=""/>
      <w:lvlJc w:val="left"/>
      <w:pPr>
        <w:ind w:left="839" w:hanging="360"/>
      </w:pPr>
      <w:rPr>
        <w:rFonts w:ascii="Symbol" w:eastAsia="Symbol" w:hAnsi="Symbol" w:cs="Symbol" w:hint="default"/>
        <w:w w:val="100"/>
        <w:sz w:val="28"/>
        <w:szCs w:val="28"/>
      </w:rPr>
    </w:lvl>
    <w:lvl w:ilvl="1" w:tplc="0E1A7DA2">
      <w:numFmt w:val="bullet"/>
      <w:lvlText w:val=""/>
      <w:lvlJc w:val="left"/>
      <w:pPr>
        <w:ind w:left="1266" w:hanging="360"/>
      </w:pPr>
      <w:rPr>
        <w:rFonts w:ascii="Symbol" w:eastAsia="Symbol" w:hAnsi="Symbol" w:cs="Symbol" w:hint="default"/>
        <w:w w:val="100"/>
        <w:sz w:val="24"/>
        <w:szCs w:val="24"/>
      </w:rPr>
    </w:lvl>
    <w:lvl w:ilvl="2" w:tplc="420AF872">
      <w:numFmt w:val="bullet"/>
      <w:lvlText w:val="•"/>
      <w:lvlJc w:val="left"/>
      <w:pPr>
        <w:ind w:left="2271" w:hanging="360"/>
      </w:pPr>
      <w:rPr>
        <w:rFonts w:hint="default"/>
      </w:rPr>
    </w:lvl>
    <w:lvl w:ilvl="3" w:tplc="E3A601C8">
      <w:numFmt w:val="bullet"/>
      <w:lvlText w:val="•"/>
      <w:lvlJc w:val="left"/>
      <w:pPr>
        <w:ind w:left="3282" w:hanging="360"/>
      </w:pPr>
      <w:rPr>
        <w:rFonts w:hint="default"/>
      </w:rPr>
    </w:lvl>
    <w:lvl w:ilvl="4" w:tplc="C12663B6">
      <w:numFmt w:val="bullet"/>
      <w:lvlText w:val="•"/>
      <w:lvlJc w:val="left"/>
      <w:pPr>
        <w:ind w:left="4293" w:hanging="360"/>
      </w:pPr>
      <w:rPr>
        <w:rFonts w:hint="default"/>
      </w:rPr>
    </w:lvl>
    <w:lvl w:ilvl="5" w:tplc="AEEAB59C">
      <w:numFmt w:val="bullet"/>
      <w:lvlText w:val="•"/>
      <w:lvlJc w:val="left"/>
      <w:pPr>
        <w:ind w:left="5304" w:hanging="360"/>
      </w:pPr>
      <w:rPr>
        <w:rFonts w:hint="default"/>
      </w:rPr>
    </w:lvl>
    <w:lvl w:ilvl="6" w:tplc="C2247A96">
      <w:numFmt w:val="bullet"/>
      <w:lvlText w:val="•"/>
      <w:lvlJc w:val="left"/>
      <w:pPr>
        <w:ind w:left="6315" w:hanging="360"/>
      </w:pPr>
      <w:rPr>
        <w:rFonts w:hint="default"/>
      </w:rPr>
    </w:lvl>
    <w:lvl w:ilvl="7" w:tplc="51A469BA">
      <w:numFmt w:val="bullet"/>
      <w:lvlText w:val="•"/>
      <w:lvlJc w:val="left"/>
      <w:pPr>
        <w:ind w:left="7326" w:hanging="360"/>
      </w:pPr>
      <w:rPr>
        <w:rFonts w:hint="default"/>
      </w:rPr>
    </w:lvl>
    <w:lvl w:ilvl="8" w:tplc="71D2F288">
      <w:numFmt w:val="bullet"/>
      <w:lvlText w:val="•"/>
      <w:lvlJc w:val="left"/>
      <w:pPr>
        <w:ind w:left="8337" w:hanging="360"/>
      </w:pPr>
      <w:rPr>
        <w:rFonts w:hint="default"/>
      </w:rPr>
    </w:lvl>
  </w:abstractNum>
  <w:num w:numId="1">
    <w:abstractNumId w:val="4"/>
  </w:num>
  <w:num w:numId="2">
    <w:abstractNumId w:val="5"/>
  </w:num>
  <w:num w:numId="3">
    <w:abstractNumId w:val="7"/>
  </w:num>
  <w:num w:numId="4">
    <w:abstractNumId w:val="0"/>
  </w:num>
  <w:num w:numId="5">
    <w:abstractNumId w:val="3"/>
  </w:num>
  <w:num w:numId="6">
    <w:abstractNumId w:val="12"/>
  </w:num>
  <w:num w:numId="7">
    <w:abstractNumId w:val="1"/>
  </w:num>
  <w:num w:numId="8">
    <w:abstractNumId w:val="8"/>
  </w:num>
  <w:num w:numId="9">
    <w:abstractNumId w:val="6"/>
  </w:num>
  <w:num w:numId="10">
    <w:abstractNumId w:val="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E8"/>
    <w:rsid w:val="00052235"/>
    <w:rsid w:val="000B2BF7"/>
    <w:rsid w:val="000D6D12"/>
    <w:rsid w:val="002060C5"/>
    <w:rsid w:val="002E5CDA"/>
    <w:rsid w:val="003031F9"/>
    <w:rsid w:val="003415E3"/>
    <w:rsid w:val="003D68F6"/>
    <w:rsid w:val="00430D68"/>
    <w:rsid w:val="00435260"/>
    <w:rsid w:val="00564B17"/>
    <w:rsid w:val="005D51A1"/>
    <w:rsid w:val="006622E2"/>
    <w:rsid w:val="006B17B4"/>
    <w:rsid w:val="006D652C"/>
    <w:rsid w:val="00734E4A"/>
    <w:rsid w:val="008329B3"/>
    <w:rsid w:val="0086040A"/>
    <w:rsid w:val="0087076E"/>
    <w:rsid w:val="0089773E"/>
    <w:rsid w:val="00A579E8"/>
    <w:rsid w:val="00CA4E16"/>
    <w:rsid w:val="00DA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9B7BE"/>
  <w15:docId w15:val="{95404736-4EA4-4503-B16F-F49EA04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30"/>
      <w:szCs w:val="30"/>
    </w:rPr>
  </w:style>
  <w:style w:type="paragraph" w:styleId="Heading2">
    <w:name w:val="heading 2"/>
    <w:basedOn w:val="Normal"/>
    <w:uiPriority w:val="1"/>
    <w:qFormat/>
    <w:pPr>
      <w:ind w:left="560" w:hanging="332"/>
      <w:outlineLvl w:val="1"/>
    </w:pPr>
    <w:rPr>
      <w:sz w:val="30"/>
      <w:szCs w:val="30"/>
    </w:rPr>
  </w:style>
  <w:style w:type="paragraph" w:styleId="Heading3">
    <w:name w:val="heading 3"/>
    <w:basedOn w:val="Normal"/>
    <w:uiPriority w:val="1"/>
    <w:qFormat/>
    <w:pPr>
      <w:spacing w:before="73"/>
      <w:ind w:left="119"/>
      <w:outlineLvl w:val="2"/>
    </w:pPr>
    <w:rPr>
      <w:b/>
      <w:bCs/>
      <w:sz w:val="28"/>
      <w:szCs w:val="28"/>
    </w:rPr>
  </w:style>
  <w:style w:type="paragraph" w:styleId="Heading4">
    <w:name w:val="heading 4"/>
    <w:basedOn w:val="Normal"/>
    <w:uiPriority w:val="1"/>
    <w:qFormat/>
    <w:pPr>
      <w:ind w:left="119"/>
      <w:outlineLvl w:val="3"/>
    </w:pPr>
    <w:rPr>
      <w:sz w:val="28"/>
      <w:szCs w:val="28"/>
    </w:rPr>
  </w:style>
  <w:style w:type="paragraph" w:styleId="Heading5">
    <w:name w:val="heading 5"/>
    <w:basedOn w:val="Normal"/>
    <w:uiPriority w:val="1"/>
    <w:qFormat/>
    <w:pPr>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54" w:lineRule="exact"/>
      <w:ind w:left="560" w:hanging="332"/>
    </w:pPr>
  </w:style>
  <w:style w:type="paragraph" w:customStyle="1" w:styleId="TableParagraph">
    <w:name w:val="Table Paragraph"/>
    <w:basedOn w:val="Normal"/>
    <w:uiPriority w:val="1"/>
    <w:qFormat/>
    <w:pPr>
      <w:spacing w:before="45"/>
      <w:ind w:left="112"/>
    </w:pPr>
  </w:style>
  <w:style w:type="paragraph" w:styleId="Header">
    <w:name w:val="header"/>
    <w:basedOn w:val="Normal"/>
    <w:link w:val="HeaderChar"/>
    <w:uiPriority w:val="99"/>
    <w:unhideWhenUsed/>
    <w:rsid w:val="006B17B4"/>
    <w:pPr>
      <w:tabs>
        <w:tab w:val="center" w:pos="4513"/>
        <w:tab w:val="right" w:pos="9026"/>
      </w:tabs>
    </w:pPr>
  </w:style>
  <w:style w:type="character" w:customStyle="1" w:styleId="HeaderChar">
    <w:name w:val="Header Char"/>
    <w:basedOn w:val="DefaultParagraphFont"/>
    <w:link w:val="Header"/>
    <w:uiPriority w:val="99"/>
    <w:rsid w:val="006B17B4"/>
    <w:rPr>
      <w:rFonts w:ascii="Arial" w:eastAsia="Arial" w:hAnsi="Arial" w:cs="Arial"/>
    </w:rPr>
  </w:style>
  <w:style w:type="paragraph" w:styleId="Footer">
    <w:name w:val="footer"/>
    <w:basedOn w:val="Normal"/>
    <w:link w:val="FooterChar"/>
    <w:uiPriority w:val="99"/>
    <w:unhideWhenUsed/>
    <w:rsid w:val="006B17B4"/>
    <w:pPr>
      <w:tabs>
        <w:tab w:val="center" w:pos="4513"/>
        <w:tab w:val="right" w:pos="9026"/>
      </w:tabs>
    </w:pPr>
  </w:style>
  <w:style w:type="character" w:customStyle="1" w:styleId="FooterChar">
    <w:name w:val="Footer Char"/>
    <w:basedOn w:val="DefaultParagraphFont"/>
    <w:link w:val="Footer"/>
    <w:uiPriority w:val="99"/>
    <w:rsid w:val="006B17B4"/>
    <w:rPr>
      <w:rFonts w:ascii="Arial" w:eastAsia="Arial" w:hAnsi="Arial" w:cs="Arial"/>
    </w:rPr>
  </w:style>
  <w:style w:type="character" w:styleId="Hyperlink">
    <w:name w:val="Hyperlink"/>
    <w:uiPriority w:val="99"/>
    <w:unhideWhenUsed/>
    <w:qFormat/>
    <w:rsid w:val="00564B17"/>
    <w:rPr>
      <w:rFonts w:ascii="Arial" w:hAnsi="Arial"/>
      <w:color w:val="0092CF"/>
      <w:sz w:val="20"/>
      <w:u w:val="single"/>
    </w:rPr>
  </w:style>
  <w:style w:type="paragraph" w:customStyle="1" w:styleId="Caption1">
    <w:name w:val="Caption 1"/>
    <w:basedOn w:val="Normal"/>
    <w:qFormat/>
    <w:rsid w:val="00564B17"/>
    <w:pPr>
      <w:widowControl/>
      <w:autoSpaceDE/>
      <w:autoSpaceDN/>
      <w:spacing w:before="120" w:after="120"/>
    </w:pPr>
    <w:rPr>
      <w:rFonts w:eastAsia="MS Mincho" w:cs="Times New Roman"/>
      <w:i/>
      <w:color w:val="F15F2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pubns/indg23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good-estate-management-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pfa.org/~/media/files/services/property/document%20library/compliance%20monitoring%20england%20december%202014.pdf" TargetMode="External"/><Relationship Id="rId4" Type="http://schemas.openxmlformats.org/officeDocument/2006/relationships/settings" Target="settings.xml"/><Relationship Id="rId9" Type="http://schemas.openxmlformats.org/officeDocument/2006/relationships/hyperlink" Target="https://www.legislation.gov.uk/ukpga/1974/37/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E6C3-3B41-4B47-8E17-3598222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 THORNTON PRIMARY ACADEMY</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THORNTON PRIMARY ACADEMY</dc:title>
  <dc:creator>Jackie Slaughter</dc:creator>
  <cp:lastModifiedBy>Daniel Garbutt</cp:lastModifiedBy>
  <cp:revision>3</cp:revision>
  <dcterms:created xsi:type="dcterms:W3CDTF">2019-10-14T16:17:00Z</dcterms:created>
  <dcterms:modified xsi:type="dcterms:W3CDTF">2020-01-16T09:17:00Z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Microsoft® Word 2013</vt:lpwstr>
  </property>
  <property fmtid="{D5CDD505-2E9C-101B-9397-08002B2CF9AE}" pid="4" name="LastSaved">
    <vt:filetime>2017-10-06T00:00:00Z</vt:filetime>
  </property>
</Properties>
</file>